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23-TA-1270: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civilās aviācijas drošības programmu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civilās aviācijas drošības programmu, kurā paredzēti civilās aviācijas drošības uzturēšanas pasākumi (turpmāk – aviācijas drošības pasākumi) saskaņā ar Eiropas Parlamenta un Padomes 2008.gada 11.marta </w:t>
            </w:r>
            <w:r w:rsidR="00000000" w:rsidRPr="00000000" w:rsidDel="00000000">
              <w:rPr>
                <w:rtl w:val="0"/>
              </w:rPr>
              <w:t xml:space="preserve">Regulu (EK) Nr.300/2008</w:t>
            </w:r>
            <w:r w:rsidR="00000000" w:rsidRPr="00000000" w:rsidDel="00000000">
              <w:rPr>
                <w:rtl w:val="0"/>
              </w:rPr>
              <w:t xml:space="preserve"> par kopīgiem noteikumiem civilās aviācijas drošības jomā un, ar ko atceļ Eiropas Parlamenta un Padomes </w:t>
            </w:r>
            <w:r w:rsidR="00000000" w:rsidRPr="00000000" w:rsidDel="00000000">
              <w:rPr>
                <w:rtl w:val="0"/>
              </w:rPr>
              <w:t xml:space="preserve">Regulas (EK) Nr.2320/2002</w:t>
            </w:r>
            <w:r w:rsidR="00000000" w:rsidRPr="00000000" w:rsidDel="00000000">
              <w:rPr>
                <w:rtl w:val="0"/>
              </w:rPr>
              <w:t xml:space="preserve"> par kopīgiem noteikumiem civilās aviācijas drošības jomā 10.pantu.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57. panta pirmā daļa noteic, ka Ministru kabinets apstiprina Valsts civilās aviācijas drošības programmu, kurā saskaņā ar Eiropas Parlamenta un Padomes 2008.gada 11.marta regulu (EK) Nr. 300/2008 par kopīgiem noteikumiem civilās aviācijas drošības jomā un ar ko atceļ regulu (EK) Nr. 2320/2002 (turpmāk - Regula 300/2008) noteikti veicamie civilās aviācijas drošības uzturēšanas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2009. gada 3. februāra noteikumu Nr. 108 "Normatīvo aktu projektu sagatavošanas noteikumi" 100. punkts paredz, ka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pašlaik projekta 1. punktā iekļautais deleģējums atšķiras no likumā "Par aviāciju" 57. panta pirmajā daļa iekļautā regulējuma, lūdzam attiecīgi precizēt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izvērtēt, vai projekta 1. punkts  pilnībā atspoguļo projekta saturu, ņemot vērā projekta normās uzskaitīto institūciju pienākumu loku, kā arī projekta  anotācijā norādīto informāciju par citiem Eiropas Savienības tiesību aktiem, kas tiek ieviesti ar projektu. Nepieciešamības gadījumā lūdzam projekta anotācijā detalizētāk skaidrot ar projektu regulējumo jautājumu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civilās aviācijas drošības programmu, kurā saskaņā ar Eiropas Parlamenta un Padomes 2008. gada 11. marta </w:t>
            </w:r>
            <w:r w:rsidR="00000000" w:rsidRPr="00000000" w:rsidDel="00000000">
              <w:rPr>
                <w:rtl w:val="0"/>
              </w:rPr>
              <w:t xml:space="preserve">Regulu (EK) Nr.300/2008</w:t>
            </w:r>
            <w:r w:rsidR="00000000" w:rsidRPr="00000000" w:rsidDel="00000000">
              <w:rPr>
                <w:rtl w:val="0"/>
              </w:rPr>
              <w:t xml:space="preserve"> </w:t>
            </w:r>
            <w:r w:rsidR="00000000" w:rsidRPr="00000000" w:rsidDel="00000000">
              <w:rPr>
                <w:rtl w:val="0"/>
              </w:rPr>
              <w:t xml:space="preserve">par kopīgiem noteikumiem civilās aviācijas drošības jomā un ar ko atceļ Regulu (EK) Nr. 2320/2002 (turpmāk - Regula Nr.300/2008) noteikti veicamie civilās aviācijas drošības uzturēšanas pasākumi (turpmāk – aviodrošības pasākumi).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civilās aviācijas drošības programmā ietverti aviācijas drošības pasākumi saskaņā ar Komisijas 2015. gada 5. novembra Īstenošanas </w:t>
            </w:r>
            <w:r w:rsidR="00000000" w:rsidRPr="00000000" w:rsidDel="00000000">
              <w:rPr>
                <w:rtl w:val="0"/>
              </w:rPr>
              <w:t xml:space="preserve">Regulu (ES) Nr.2015/1998</w:t>
            </w:r>
            <w:r w:rsidR="00000000" w:rsidRPr="00000000" w:rsidDel="00000000">
              <w:rPr>
                <w:rtl w:val="0"/>
              </w:rPr>
              <w:t xml:space="preserve">, ar ko nosaka sīki izstrādātus pasākumus kopīgu pamatstandartu īstenošanai aviācijas drošības jomā (turpmāk – Regula Nr. 2015/1998), Komisijas 2009. gada 18. decembra </w:t>
            </w:r>
            <w:r w:rsidR="00000000" w:rsidRPr="00000000" w:rsidDel="00000000">
              <w:rPr>
                <w:rtl w:val="0"/>
              </w:rPr>
              <w:t xml:space="preserve">Regulu (ES) Nr.1254/2009</w:t>
            </w:r>
            <w:r w:rsidR="00000000" w:rsidRPr="00000000" w:rsidDel="00000000">
              <w:rPr>
                <w:rtl w:val="0"/>
              </w:rPr>
              <w:t xml:space="preserve">, ar ko nosaka kritērijus, lai ļautu dalībvalstīm atkāpties no kopējiem pamatstandartiem civilās aviācijas drošības jomā un pieņemt alternatīvus drošības pasākumus (turpmāk – Regula Nr. 1254/2009), Komisijas 2017. gada 1. marta Īstenošanas </w:t>
            </w:r>
            <w:r w:rsidR="00000000" w:rsidRPr="00000000" w:rsidDel="00000000">
              <w:rPr>
                <w:rtl w:val="0"/>
              </w:rPr>
              <w:t xml:space="preserve">Regulu (ES) Nr.2017/373</w:t>
            </w:r>
            <w:r w:rsidR="00000000" w:rsidRPr="00000000" w:rsidDel="00000000">
              <w:rPr>
                <w:rtl w:val="0"/>
              </w:rPr>
              <w:t xml:space="preserve">, ar ko nosaka kopīgas prasības gaisa satiksmes pārvaldības/aeronavigācijas pakalpojumu sniedzējiem un citu gaisa satiksmes pārvaldības tīkla funkciju nodrošinātājiem un to uzraudzībai (turpmāk - Regula Nr.2017/373), Eiropas Parlamenta un Padomes 2018. gada 4. jūlija </w:t>
            </w:r>
            <w:r w:rsidR="00000000" w:rsidRPr="00000000" w:rsidDel="00000000">
              <w:rPr>
                <w:rtl w:val="0"/>
              </w:rPr>
              <w:t xml:space="preserve">Regulu (ES) 2018/1139</w:t>
            </w:r>
            <w:r w:rsidR="00000000" w:rsidRPr="00000000" w:rsidDel="00000000">
              <w:rPr>
                <w:rtl w:val="0"/>
              </w:rPr>
              <w:t xml:space="preserve"> par kopīgiem noteikumiem civilās aviācijas jomā un ar ko izveido Eiropas Savienības Aviācijas drošības aģentūru un, ar ko groza Eiropas Parlamenta un Padomes Regulas (EK) Nr.2111/2005, (EK) Nr. 1008/2008, (ES) Nr. 996/2010, (ES) Nr. 376/2014 un Direktīvas 2014/30/ES un 2014/53/ES un atceļ Eiropas Parlamenta un Padomes Regulas (EK) Nr. 552/2004 un (EK) Nr. 216/2008 un Padomes Regulu (EEK) Nr. 3922/91, un  Eiropas Parlamenta un Padomes 2014. gada 3. aprīļa </w:t>
            </w:r>
            <w:r w:rsidR="00000000" w:rsidRPr="00000000" w:rsidDel="00000000">
              <w:rPr>
                <w:rtl w:val="0"/>
              </w:rPr>
              <w:t xml:space="preserve">Regulu (ES) Nr.376/2014</w:t>
            </w:r>
            <w:r w:rsidR="00000000" w:rsidRPr="00000000" w:rsidDel="00000000">
              <w:rPr>
                <w:rtl w:val="0"/>
              </w:rPr>
              <w:t xml:space="preserve"> par ziņošanu, analīzi un turpmākajiem pasākumiem attiecībā uz atgadījumiem civilajā aviācijā Eiropas Parlamenta un Padomes Regula (ES) Nr. 376/2014 ( 2014. gada 3. aprīlis )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Dokuments attiecas uz EEZ (turpmāk- Regula Nr.376/2014).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vai precizēt projekta 2. punktu. Norādām, ka normatīvajā aktā ietver tiesību normas, t.i., adresātiem saistošus uzvedības noteikumus. Normatīvajā aktā neietver deklaratīvas normas, skaidrojumus vai informāciju rakstura tekstu - šādi skaidrojumi ietverami normatīvā akta anotācijā. Vēršam uzmanību, ka pašreizējā projekta 2.punkta redakcija formulēta kā informatīva atsauce uz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nepieciešamības gadījumā lūdzam precizēt anotācijas 5.4. apakšpunkta 1. tabulā ietverto skaidrojumu "Atsauce uz regulu konkrētajā gadījumā  ir ietverta, lai tiesību normu padarītu saprotamāku mērķgrupai", jo minētā informācija neskaidro projekta 2.punkta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lai lidostām, civilās aviācijas lidlaukiem, Latvijas Republikā reģistrēto gaisa kuģu ekspluatantiem un tiesību subjektiem būtu piekļuve informācijai par tām uz viņiem attiecināmajām prasībām, kas noteiktas Komisijas 2015. gada 16. novembra Īstenošanas Lēmumā C (2015) 8005, ar ko nosaka sīki izstrādātus pasākumus tādu kopīgu pamatstandartu īstenošanai aviācijas drošības jomā, kuros ir </w:t>
            </w:r>
            <w:r w:rsidR="00000000" w:rsidRPr="00000000" w:rsidDel="00000000">
              <w:rPr>
                <w:rtl w:val="0"/>
              </w:rPr>
              <w:t xml:space="preserve">Regulas (EK) Nr.300/2008</w:t>
            </w:r>
            <w:r w:rsidR="00000000" w:rsidRPr="00000000" w:rsidDel="00000000">
              <w:rPr>
                <w:rtl w:val="0"/>
              </w:rPr>
              <w:t xml:space="preserve"> 18. panta "a" punktā minētā informācija (turpmāk – Īstenošanas lēmums C(2015) 8005);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4.1. apakšpunktu svītrojot atsauci uz Eiropas Komisijas īstenošanas lēmumu. Vēršam uzmanību, ka atbilstoši par Līguma par Eiropas Savienības darbību 288.pantam lēmumi nav tieši piemērojami Eiropas Savienības tiesību akti, un tāds lēmumu tiesību normas, kas uzliek vispārīgu pienākumu privātpersonām, nepieciešams pārņemt nacionālajā normatīvajā aktā. Ievērojot minēto, aicinām projekta 4.1.apakšpunktā vai nu noteikt vispārīgu Civilās aviācijas aģentūras pienākumu (piemēram, pienākumu nodrošināt attiecīgajiem subjektiem pieejamu informāciju par tiem saistošajām prasībām), vai arī nepieciešamības gadījumā projektā pārņemt konkrētas lēmuma normas.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attiecas arī uz projekta 4.11. un 4.28.apakšpunktu.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anotācijas 5.4. sadaļas 1.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lai lidostām, civilās aviācijas lidlaukiem, Latvijas Republikā reģistrēto gaisa kuģu ekspluatantiem un tiesību subjektiem būtu piekļuve informācijai par tām uz viņiem attiecināmajām prasībām, kas noteiktas Komisijas 2015. gada 16. novembra Īstenošanas Lēmumā C (2015) 8005, ar ko nosaka sīki izstrādātus pasākumus tādu kopīgu pamatstandartu īstenošanai aviācijas drošības jomā, kuros ir </w:t>
            </w:r>
            <w:r w:rsidR="00000000" w:rsidRPr="00000000" w:rsidDel="00000000">
              <w:rPr>
                <w:rtl w:val="0"/>
              </w:rPr>
              <w:t xml:space="preserve">Regulas Nr.300/2008</w:t>
            </w:r>
            <w:r w:rsidR="00000000" w:rsidRPr="00000000" w:rsidDel="00000000">
              <w:rPr>
                <w:rtl w:val="0"/>
              </w:rPr>
              <w:t xml:space="preserve"> 18. panta "a" punktā minētā informācija (turpmāk – Īstenošanas lēmums C(2015) 8005);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izstrādāt kārtību, kādā apmāca, sertificē un apstiprina aviācijas drošības vadītājus, kvalitātes uzraudzības vadītājus, aviācijas drošības instruktorus;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4.4. punktu. Vēršam uzmanību, ka likuma "Par aviāciju" 57. panta piektā dāla noteic, ka Valsts civilās aviācijas drošības programmā noteiktos pasākumus īsteno </w:t>
            </w:r>
            <w:r w:rsidR="00000000" w:rsidRPr="00000000" w:rsidDel="00000000">
              <w:rPr>
                <w:u w:val="single"/>
                <w:rtl w:val="0"/>
              </w:rPr>
              <w:t xml:space="preserve">personāls, kas sertificēts atbilstoši kārtībai, kuru nosaka Ministru kabinets</w:t>
            </w:r>
            <w:r w:rsidR="00000000" w:rsidRPr="00000000" w:rsidDel="00000000">
              <w:rPr>
                <w:rtl w:val="0"/>
              </w:rPr>
              <w:t xml:space="preserve">. No minētā secināms, ka aviācijas drošībā iesaistītā personāla sertifikācijas kārtību ārējā normatīvajā aktā nosaka Ministru kabinets, nevis nevis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3.4.apakšpunkts.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izstrādāt kārtību, kādā apmāca, sertificē un apstiprina aviācijas drošības vadītājus, kvalitātes uzraudzības vadītājus, aviācijas drošības instruktorus un virzīt to apstiprināšanai Ministru kabinetā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noteikt gadījumus, kad atbilstoši Eiropas Savienības tiesību aktu prasībām iespējams piemērot atkāpes aviācijas drošības pasākumu īstenošanā, ņemot vērā drošības riska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attiecīgi precizēt apakšpunktu, ņemot vērā, ka nav skaidrs, kādas tieši atkāpes un kādā procedūrā nosaka Civilās aviācijas aģentūra. Vēršam uzmanību, ka izņēmumus no ārējo normatīvo aktu prasībām un iestāžu tiesības tādus piemērot skaidri jānosaka attiecīgajā normatīvajā aktā. Šādas tiesības nepiemērot normatīvo aktu noteikumus nevar būt formulētas kā nekonkretizētas iestādes tiesības. Nepieciešamības gadījumā lūdzam papildināt apakšpunktu ar atsauci uz konkrētu tieši piemērojamā Eiropas Savienības tiesību akta (regulas) normu, kas paredz attiecīgus izņēmumus (slaīdzinājumam sk. projekta 4.31.apakšpunktu).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3.18.apakšpunkts.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noteikt gadījumus, kad atbilstoši </w:t>
            </w:r>
            <w:r w:rsidR="00000000" w:rsidRPr="00000000" w:rsidDel="00000000">
              <w:rPr>
                <w:rtl w:val="0"/>
              </w:rPr>
              <w:t xml:space="preserve">​</w:t>
            </w:r>
            <w:r w:rsidR="00000000" w:rsidRPr="00000000" w:rsidDel="00000000">
              <w:rPr>
                <w:rtl w:val="0"/>
              </w:rPr>
              <w:t xml:space="preserve">Komisijas 2009.gada 2.aprīļa </w:t>
            </w:r>
            <w:r w:rsidR="00000000" w:rsidRPr="00000000" w:rsidDel="00000000">
              <w:rPr>
                <w:rtl w:val="0"/>
              </w:rPr>
              <w:t xml:space="preserve">Regulas (EK) Nr.272/2009</w:t>
            </w:r>
            <w:r w:rsidR="00000000" w:rsidRPr="00000000" w:rsidDel="00000000">
              <w:rPr>
                <w:rtl w:val="0"/>
              </w:rPr>
              <w:t xml:space="preserve">, ar ko papildina vispārējos civilās aviācijas drošības pamatstandartus, kas izklāstīti </w:t>
            </w:r>
            <w:r w:rsidR="00000000" w:rsidRPr="00000000" w:rsidDel="00000000">
              <w:rPr>
                <w:rtl w:val="0"/>
              </w:rPr>
              <w:t xml:space="preserve">Regulas Nr. 300/2008</w:t>
            </w:r>
            <w:r w:rsidR="00000000" w:rsidRPr="00000000" w:rsidDel="00000000">
              <w:rPr>
                <w:rtl w:val="0"/>
              </w:rPr>
              <w:t xml:space="preserve"> pielikumā, pielikuma K daļai iespējams piemērot atkāpes aviodrošības pasākumu īstenošanā, ņemot vērā aviācijas drošības riska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4.30. veikt civilās aviācijas lidlauku riska novērtējumu atbilstoši </w:t>
            </w:r>
            <w:r w:rsidR="00000000" w:rsidRPr="00000000" w:rsidDel="00000000">
              <w:rPr>
                <w:rtl w:val="0"/>
              </w:rPr>
              <w:t xml:space="preserve">Regulas Nr. 1254/2009</w:t>
            </w:r>
            <w:r w:rsidR="00000000" w:rsidRPr="00000000" w:rsidDel="00000000">
              <w:rPr>
                <w:rtl w:val="0"/>
              </w:rPr>
              <w:t xml:space="preserve"> 1. panta prasībām un noteikt civilās aviācijas lidlaukam atbilstoši tā darbības veidam un apjomam, piemērojamos alternatīvos drošības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projekta 4.30.apakšpunktu, svītrojot vārdus "un noteikt civilās aviācijas lidlaukam atbilstoši tā darbības veidam un apjomam, piemērojamos alternatīvos drošības pasākumus". Vēršam uzmanību, ka šajā normā minētais  Regulas Nr. 1254/2009 1. pants paredz </w:t>
            </w:r>
            <w:r w:rsidR="00000000" w:rsidRPr="00000000" w:rsidDel="00000000">
              <w:rPr>
                <w:u w:val="single"/>
                <w:rtl w:val="0"/>
              </w:rPr>
              <w:t xml:space="preserve">dalībvalstu </w:t>
            </w:r>
            <w:r w:rsidR="00000000" w:rsidRPr="00000000" w:rsidDel="00000000">
              <w:rPr>
                <w:i w:val="1"/>
                <w:rtl w:val="0"/>
              </w:rPr>
              <w:t xml:space="preserve">tiesības atkāpties no Regulas (EK) Nr. 300/2008 4. panta 1. punktā minētajiem kopējiem pamatstandartiem un pieņemt alternatīvus drošības pasākumus, kas sniedz atbilstošu drošības līmeni, pamatojoties uz attiecīgās iestādes apstiprinātu riska novērtējumu, lidostās vai norobežotās lidostu zonās, kurās kustība ir atļauta tikai attiecībā uz vienu vai vairākām no šādām kategorijām</w:t>
            </w:r>
            <w:r w:rsidR="00000000" w:rsidRPr="00000000" w:rsidDel="00000000">
              <w:rPr>
                <w:rtl w:val="0"/>
              </w:rPr>
              <w:t xml:space="preserve">. Šādas atkāpes skaidri nosakāmas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anotācijas 1.3.sadaļā un precizēts noteikumu projekta 3.30.apakšpunkts.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 veikt civilās aviācijas lidlauku aviācijas drošības riska novērtējumu atbilstoši </w:t>
            </w:r>
            <w:r w:rsidR="00000000" w:rsidRPr="00000000" w:rsidDel="00000000">
              <w:rPr>
                <w:rtl w:val="0"/>
              </w:rPr>
              <w:t xml:space="preserve">Regulas Nr. 1254/2009</w:t>
            </w:r>
            <w:r w:rsidR="00000000" w:rsidRPr="00000000" w:rsidDel="00000000">
              <w:rPr>
                <w:rtl w:val="0"/>
              </w:rPr>
              <w:t xml:space="preserve"> 1. panta prasībām un noteikt civilās aviācijas lidlaukam atbilstoši tā darbības veidam un apjomam, piemērojamos alternatīvos drošības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Muitas pārvaldei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3. pants noteic, ka Valsts ieņēmumu dienesta struktūru, kuras sastāvā ir muitas iestādes, nodokļu un muitas policija, Iekšējās drošības pārvalde, nodokļu administrēšanas un citas struktūrvienības, kas nodrošina šā dienesta darbību, nosaka Valsts ieņēmumu dienesta ģenerāldirektors saskaņā ar šo likumu un citiem normatīvajiem aktiem. Ministru kabineta 2004. gada 16. novembra noteikumu Nr. 940 “Valsts ieņēmumu dienesta nolikums” 8. punkts noteic, ka Dienesta ģenerāldirektors veido dienesta iekšējo organizatorisko struktūru saskaņā ar likumu “Par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pārvalde ir Valsts ieņēmumu dienesta struktūrvienība, tā nav patstāvīgs subjekts. Lūdzam noteikumu projekta 17. punktā vārdus “Muitas pārvalde” aizstāt ar vārdiem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ieņemumu dienestam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16.punkta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ieņēmumu dienestam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23. un 24.punktā noteikto projekta normu spēkā stāšanās noteikumu nepieciešamību. Vēršam uzmanību, vairāki minētajos noslēguma jautājumos minētie institūciju pienākumi (piemēram, 4.9. un 4.31.apakšpunktā minētie uzdevumi) izriet no Eiropas Savienības tiesību aktiem, tai skaitā Eiropas Parlamenta un Padomes 2014. gada 3. aprīļa Regulas (ES) Nr. 376/2014 par ziņošanu, analīzi un turpmākajiem pasākumiem attiecībā uz atgadījumiem civilajā aviācijā.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projekta spēkā stāšanos spēki zaudēs šobrīd spēkā esošie Ministru kabineta 2010.gada 27.aprīļa noteikumu Nr.397 „Noteikumi par Valsts civilās aviācijas drošības programmu”, savukārt projekta 23. un 24.punktā minētās normas stāsies spēkā 2024. gada 1. janvārī vai 2023. gada 1. septembrī, nav skaidrs, kā pārejas periodā, neesot spēkā esošiem nacionālajiem normatīvajiem aktiem, tiks nodrošināta minēto Eiropas Savienības regulu piemērošana.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papildināt anotāciju  ar informāciju par projekta 4.31., 5.28., 6.5., 7.19., 8.8., 9.8., 10.9., 11.4., 12.4. un 13.8. apakšpunktu atšķirīgo spēkā stāšanā datumu, jo no pašreizējās informācijas izriet, ka minētie projekta apakšpunkti ir saistīti ar aviācijas drošības personāla sertifikācijas ieviešanu, taču šie punkti ir saistīti ar aviācijas drošības incidentu ziņošanas, analīzes un korektīvo darbību sistēmas ieviešanu atbilstoši Eiropas Parlamenta un Padomes Regulas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13.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projekta noslēguma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procesā, secināts, ka nav juridiskā sloga noteikumu projekta 23. un 24.punktā paredzētajam regulējumam par normu spēkā stāšanos, jo normu spēkā stāšanās termiņi neizriet no Eiropas Savienības regulām vai citiem tiesību aktiem. Turklāt noteikumu  projekta punkti, kas attiecas uz aviodrošības personāla sertifikāciju, izriet no Eiropas Komisijas inspekcijas ziņojuma, par kura ieviešanu puses vienojas, izstrādājot savstarpēju rīcības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4.punktu ar informāciju, ka saistībā ar projektu tiks veikti grozījumi Ministru kabineta 2017. gada 8. augusta noteikumos Nr. 444 “Valsts civilās aviācijas drošības programmas pasākumu īstenošanā iesaistītā personāla sertificēšanas kārtība ”, lai izstrādātu detalizētu atestācijas kārtību aviācijas drošības personālam, kas pilda Regulas 2015/1998 pielikuma 11.2.3.1. – 11.2.3.5. apakšpunktā minētos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4.sadaļas 4.1.1.apakšpunkts.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apakšpunktā norādīt kā ir izmantota Eiropas Savienības normatīvajos aktos paredzētā rīcības brīvība dalībvalstij pārņemt vai ieviest noteiktas Eiropas Savienības tiesību akta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r w:rsidR="00000000" w:rsidRPr="00000000" w:rsidDel="00000000">
              <w:rPr>
                <w:i w:val="1"/>
                <w:rtl w:val="0"/>
              </w:rPr>
              <w:t xml:space="preserve"> Komisijas 2009. gada 18. decembra Regulas (ES) Nr. 1254/2009 , ar ko nosaka kritērijus, lai ļautu dalībvalstīm atkāpties no kopējiem pamatstandartiem civilās aviācijas drošības jomā un pieņemt alternatīvus drošības pasākumus </w:t>
            </w:r>
            <w:r w:rsidR="00000000" w:rsidRPr="00000000" w:rsidDel="00000000">
              <w:rPr>
                <w:rtl w:val="0"/>
              </w:rPr>
              <w:t xml:space="preserve">(turpmāk - Regula 1254/2009) 1. pantā paredzēts, ka " dalībvalstis var atkāpties no Regulas (EK) Nr. 300/2008 4. panta 1. punktā minētajiem kopējiem pamatstandartiem un pieņemt alternatīvus drošības pasākumus, kas sniedz atbilstošu drošības līmeni, pamatojoties uz vietēju riska novērtējumu lidostās vai norobežotās lidostu zonās, kurās kustība ir atļauta tikai attiecībā uz vienu vai vairākām no šādām kategorijām: (..)". Atbilstoši projekta anotācijas 5.4. apakšpunkta 1. tabulā norādītajam, minētā regulas norma ieviesta ar ieviesta projekta 4.6. un 4.30. apakšpunktu. Savukārt projekta 5.28., 4.31. un 13.8.apakšpunktos, atbilstoši anotācijai, ieviests Regulas 376/2014 13. pants, kura punktos paredzēta rīcības brīvība dalībvalstu kompetentajai iestādei "(..) prasīt, lai organizācija tai pārsūta jebkura tāda atgadījuma analīzes sākotnējos rezultātus vai gala rezultātus, par kuru tai ir paziņots, bet saistībā ar kuru tā nav saņēmusi turpmāku informāciju vai ir saņēmusi tikai sākotnējos rezultātus" kā arī "(..) publicēt arī ziņojumus par atgadījumiem un riska analīzes rezultātus, nodrošinot šo datu anonimitāti".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5.4.sadaļas  1.tabula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anotācijas 5.4. apakšpunkta 1. tabulu pilnvērtīgi atspoguļo Eiropas Savienības tiesību normu ieviešanu, jo tabulā, šķietami, nav atspoguļota visa Eiropas Savienības tiesību normu ieviešanas informācija, piemēram, par projekta 4.1., 6.5. un 7.19. punktiem, kuru redakcijās ietvertas atsauces uz ieviesto tiesību normu, un projekta 3. punktu, kas saistīts ar Regulas 300/2008 9. pantu. Lūdzam attiecīgi papildināt projekta anotācijas 5.4.apakšpunktu.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5.4.sadaļas  1.tabula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civilās aviācijas drošības programmu, kurā paredzēti civilās aviācijas drošības uzturēšanas pasākumi (turpmāk – aviācijas drošības pasākumi) saskaņā ar Eiropas Parlamenta un Padomes 2008.gada 11.marta </w:t>
            </w:r>
            <w:r w:rsidR="00000000" w:rsidRPr="00000000" w:rsidDel="00000000">
              <w:rPr>
                <w:rtl w:val="0"/>
              </w:rPr>
              <w:t xml:space="preserve">Regulu (EK) Nr.300/2008</w:t>
            </w:r>
            <w:r w:rsidR="00000000" w:rsidRPr="00000000" w:rsidDel="00000000">
              <w:rPr>
                <w:rtl w:val="0"/>
              </w:rPr>
              <w:t xml:space="preserve"> par kopīgiem noteikumiem civilās aviācijas drošības jomā un, ar ko atceļ Eiropas Parlamenta un Padomes </w:t>
            </w:r>
            <w:r w:rsidR="00000000" w:rsidRPr="00000000" w:rsidDel="00000000">
              <w:rPr>
                <w:rtl w:val="0"/>
              </w:rPr>
              <w:t xml:space="preserve">Regulas (EK) Nr.2320/2002</w:t>
            </w:r>
            <w:r w:rsidR="00000000" w:rsidRPr="00000000" w:rsidDel="00000000">
              <w:rPr>
                <w:rtl w:val="0"/>
              </w:rPr>
              <w:t xml:space="preserve"> par kopīgiem noteikumiem civilās aviācijas drošības jomā 10.pantu.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un anotācijā atsauces uz Eiropas Savienības tiesību aktiem noformēt atbilstoši Ministru kabineta 2009. gada 3. februāra noteikumiem Nr. 108 „Normatīvo aktu projektu sagatavošanas noteikumi” 4. nodaļai. Vēršam uzmanību, ka atsaucē uz Eiropas Savienības tiesību aktu norāda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ievērot ka, nepieciešamības gadījumā, nosaukuma saīsinājumu piesaka pirmajā vietā juridiskajā tekstā, kur lietots attiecīgais normatīvā akta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civilās aviācijas drošības programmu, kurā saskaņā ar Eiropas Parlamenta un Padomes 2008. gada 11. marta </w:t>
            </w:r>
            <w:r w:rsidR="00000000" w:rsidRPr="00000000" w:rsidDel="00000000">
              <w:rPr>
                <w:rtl w:val="0"/>
              </w:rPr>
              <w:t xml:space="preserve">Regulu (EK) Nr.300/2008</w:t>
            </w:r>
            <w:r w:rsidR="00000000" w:rsidRPr="00000000" w:rsidDel="00000000">
              <w:rPr>
                <w:rtl w:val="0"/>
              </w:rPr>
              <w:t xml:space="preserve"> </w:t>
            </w:r>
            <w:r w:rsidR="00000000" w:rsidRPr="00000000" w:rsidDel="00000000">
              <w:rPr>
                <w:rtl w:val="0"/>
              </w:rPr>
              <w:t xml:space="preserve">par kopīgiem noteikumiem civilās aviācijas drošības jomā un ar ko atceļ Regulu (EK) Nr. 2320/2002 (turpmāk - Regula Nr.300/2008) noteikti veicamie civilās aviācijas drošības uzturēšanas pasākumi (turpmāk – aviodrošības pasākumi).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civilās aviācijas drošības programmu, kurā paredzēti civilās aviācijas drošības uzturēšanas pasākumi (turpmāk – aviācijas drošības pasākumi) saskaņā ar Eiropas Parlamenta un Padomes 2008.gada 11.marta </w:t>
            </w:r>
            <w:r w:rsidR="00000000" w:rsidRPr="00000000" w:rsidDel="00000000">
              <w:rPr>
                <w:rtl w:val="0"/>
              </w:rPr>
              <w:t xml:space="preserve">Regulu (EK) Nr.300/2008</w:t>
            </w:r>
            <w:r w:rsidR="00000000" w:rsidRPr="00000000" w:rsidDel="00000000">
              <w:rPr>
                <w:rtl w:val="0"/>
              </w:rPr>
              <w:t xml:space="preserve"> par kopīgiem noteikumiem civilās aviācijas drošības jomā un, ar ko atceļ Eiropas Parlamenta un Padomes </w:t>
            </w:r>
            <w:r w:rsidR="00000000" w:rsidRPr="00000000" w:rsidDel="00000000">
              <w:rPr>
                <w:rtl w:val="0"/>
              </w:rPr>
              <w:t xml:space="preserve">Regulas (EK) Nr.2320/2002</w:t>
            </w:r>
            <w:r w:rsidR="00000000" w:rsidRPr="00000000" w:rsidDel="00000000">
              <w:rPr>
                <w:rtl w:val="0"/>
              </w:rPr>
              <w:t xml:space="preserve"> par kopīgiem noteikumiem civilās aviācijas drošības jomā 10.pantu.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1.punktu, precīzi norādot tajā Eiropas Parlamenta un Padomes 2008. gada 11. marta Regulas (EK) Nr. 300/2008 par kopīgiem noteikumiem civilās aviācijas drošības jomā un ar ko atceļ Regulu (EK) Nr. 2320/2002 nosaukumu, jo pašreizējā projekta redakcijā minētās regulas nosaukums neatbilst Eiropas Savienības Oficiālajā Vēstnesī attiecīgajā publikācijā norādītajam regulas nosaukumam.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civilās aviācijas drošības programmu, kurā saskaņā ar Eiropas Parlamenta un Padomes 2008. gada 11. marta </w:t>
            </w:r>
            <w:r w:rsidR="00000000" w:rsidRPr="00000000" w:rsidDel="00000000">
              <w:rPr>
                <w:rtl w:val="0"/>
              </w:rPr>
              <w:t xml:space="preserve">Regulu (EK) Nr.300/2008</w:t>
            </w:r>
            <w:r w:rsidR="00000000" w:rsidRPr="00000000" w:rsidDel="00000000">
              <w:rPr>
                <w:rtl w:val="0"/>
              </w:rPr>
              <w:t xml:space="preserve"> </w:t>
            </w:r>
            <w:r w:rsidR="00000000" w:rsidRPr="00000000" w:rsidDel="00000000">
              <w:rPr>
                <w:rtl w:val="0"/>
              </w:rPr>
              <w:t xml:space="preserve">par kopīgiem noteikumiem civilās aviācijas drošības jomā un ar ko atceļ Regulu (EK) Nr. 2320/2002 (turpmāk - Regula Nr.300/2008) noteikti veicamie civilās aviācijas drošības uzturēšanas pasākumi (turpmāk – aviodrošības pasākumi).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civilās aviācijas drošības programmā ietverti aviācijas drošības pasākumi saskaņā ar Komisijas 2015. gada 5. novembra Īstenošanas </w:t>
            </w:r>
            <w:r w:rsidR="00000000" w:rsidRPr="00000000" w:rsidDel="00000000">
              <w:rPr>
                <w:rtl w:val="0"/>
              </w:rPr>
              <w:t xml:space="preserve">Regulu (ES) Nr.2015/1998</w:t>
            </w:r>
            <w:r w:rsidR="00000000" w:rsidRPr="00000000" w:rsidDel="00000000">
              <w:rPr>
                <w:rtl w:val="0"/>
              </w:rPr>
              <w:t xml:space="preserve">, ar ko nosaka sīki izstrādātus pasākumus kopīgu pamatstandartu īstenošanai aviācijas drošības jomā (turpmāk – Regula Nr. 2015/1998), Komisijas 2009. gada 18. decembra </w:t>
            </w:r>
            <w:r w:rsidR="00000000" w:rsidRPr="00000000" w:rsidDel="00000000">
              <w:rPr>
                <w:rtl w:val="0"/>
              </w:rPr>
              <w:t xml:space="preserve">Regulu (ES) Nr.1254/2009</w:t>
            </w:r>
            <w:r w:rsidR="00000000" w:rsidRPr="00000000" w:rsidDel="00000000">
              <w:rPr>
                <w:rtl w:val="0"/>
              </w:rPr>
              <w:t xml:space="preserve">, ar ko nosaka kritērijus, lai ļautu dalībvalstīm atkāpties no kopējiem pamatstandartiem civilās aviācijas drošības jomā un pieņemt alternatīvus drošības pasākumus (turpmāk – Regula Nr. 1254/2009), Komisijas 2017. gada 1. marta Īstenošanas </w:t>
            </w:r>
            <w:r w:rsidR="00000000" w:rsidRPr="00000000" w:rsidDel="00000000">
              <w:rPr>
                <w:rtl w:val="0"/>
              </w:rPr>
              <w:t xml:space="preserve">Regulu (ES) Nr.2017/373</w:t>
            </w:r>
            <w:r w:rsidR="00000000" w:rsidRPr="00000000" w:rsidDel="00000000">
              <w:rPr>
                <w:rtl w:val="0"/>
              </w:rPr>
              <w:t xml:space="preserve">, ar ko nosaka kopīgas prasības gaisa satiksmes pārvaldības/aeronavigācijas pakalpojumu sniedzējiem un citu gaisa satiksmes pārvaldības tīkla funkciju nodrošinātājiem un to uzraudzībai (turpmāk - Regula Nr.2017/373), Eiropas Parlamenta un Padomes 2018. gada 4. jūlija </w:t>
            </w:r>
            <w:r w:rsidR="00000000" w:rsidRPr="00000000" w:rsidDel="00000000">
              <w:rPr>
                <w:rtl w:val="0"/>
              </w:rPr>
              <w:t xml:space="preserve">Regulu (ES) 2018/1139</w:t>
            </w:r>
            <w:r w:rsidR="00000000" w:rsidRPr="00000000" w:rsidDel="00000000">
              <w:rPr>
                <w:rtl w:val="0"/>
              </w:rPr>
              <w:t xml:space="preserve"> par kopīgiem noteikumiem civilās aviācijas jomā un ar ko izveido Eiropas Savienības Aviācijas drošības aģentūru un, ar ko groza Eiropas Parlamenta un Padomes Regulas (EK) Nr.2111/2005, (EK) Nr. 1008/2008, (ES) Nr. 996/2010, (ES) Nr. 376/2014 un Direktīvas 2014/30/ES un 2014/53/ES un atceļ Eiropas Parlamenta un Padomes Regulas (EK) Nr. 552/2004 un (EK) Nr. 216/2008 un Padomes Regulu (EEK) Nr. 3922/91, un  Eiropas Parlamenta un Padomes 2014. gada 3. aprīļa </w:t>
            </w:r>
            <w:r w:rsidR="00000000" w:rsidRPr="00000000" w:rsidDel="00000000">
              <w:rPr>
                <w:rtl w:val="0"/>
              </w:rPr>
              <w:t xml:space="preserve">Regulu (ES) Nr.376/2014</w:t>
            </w:r>
            <w:r w:rsidR="00000000" w:rsidRPr="00000000" w:rsidDel="00000000">
              <w:rPr>
                <w:rtl w:val="0"/>
              </w:rPr>
              <w:t xml:space="preserve"> par ziņošanu, analīzi un turpmākajiem pasākumiem attiecībā uz atgadījumiem civilajā aviācijā Eiropas Parlamenta un Padomes Regula (ES) Nr. 376/2014 ( 2014. gada 3. aprīlis )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Dokuments attiecas uz EEZ (turpmāk- Regula Nr.376/2014).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punkta tekstu "[..] </w:t>
            </w:r>
            <w:r w:rsidR="00000000" w:rsidRPr="00000000" w:rsidDel="00000000">
              <w:rPr>
                <w:u w:val="single"/>
                <w:rtl w:val="0"/>
              </w:rPr>
              <w:t xml:space="preserve">Eiropas Parlamenta un Padomes 2014. gada 3. aprīļa Regulu (ES) Nr.376/2014 par ziņošanu, analīzi un turpmākajiem pasākumiem attiecībā uz atgadījumiem civilajā aviācijā</w:t>
            </w:r>
            <w:r w:rsidR="00000000" w:rsidRPr="00000000" w:rsidDel="00000000">
              <w:rPr>
                <w:rtl w:val="0"/>
              </w:rPr>
              <w:t xml:space="preserve"> Eiropas Parlamenta un Padomes Regula (ES) Nr. 376/2014 ( 2014. gada 3. aprīlis )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Dokuments attiecas uz EEZ (turpmāk- Regula Nr.376/2014)", dzēšot atkārtojošos teksta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izstrādāt aviodrošības pasākumu kopumu saskaņā ar nacionālajām, Eiropas Savienības un starptautiskajām  tiesību normām, ņemot vērā civilās aviācijas praksē izmantojamo aviodrošības procedūru un tehnoloģiju attīstību, un nodrošināt šo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veikt tajā nepieciešamos precizējumus attiecībā, piemēram, uz vārdu "aviācijas drošība" un "aviodrošība" paralēlu lietojumu. Vēršam uzmanību, ka atbilstoši Ministru kabineta 2009. gada 3. februāra noteikumu Nr. 108 „Normatīvo aktu projektu sagatavošanas noteikumi” 2.3. apakšpunktam normatīvā akta projekta tekstu raksta normatīvajiem aktiem atbilstošā vienotā stilistikā, izmantojot vienveidīgas un standartizētas vārdiskās izteiksmes.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izstrādāt aviodrošības pasākumu kopumu saskaņā ar nacionālajām, Eiropas Savienības un starptautiskajām tiesību normām, ņemot vērā civilās aviācijas praksē izmantojamo aviodrošības procedūru un tehnoloģiju attīstību, un nodrošināt šo pasākumu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apstiprināt aviācijas drošības programmu civilās aviācijas lidlaukiem, kuriem šo noteikumu </w:t>
            </w:r>
            <w:r w:rsidR="00000000" w:rsidRPr="00000000" w:rsidDel="00000000">
              <w:rPr>
                <w:rtl w:val="0"/>
              </w:rPr>
              <w:t xml:space="preserve">3.30. </w:t>
            </w:r>
            <w:r w:rsidR="00000000" w:rsidRPr="00000000" w:rsidDel="00000000">
              <w:rPr>
                <w:rtl w:val="0"/>
              </w:rPr>
              <w:t xml:space="preserve">apakšpunktā</w:t>
            </w:r>
            <w:r w:rsidR="00000000" w:rsidRPr="00000000" w:rsidDel="00000000">
              <w:rPr>
                <w:rtl w:val="0"/>
              </w:rPr>
              <w:t xml:space="preserve"> noteiktajā kārtībā ir piemērots </w:t>
            </w:r>
            <w:r w:rsidR="00000000" w:rsidRPr="00000000" w:rsidDel="00000000">
              <w:rPr>
                <w:rtl w:val="0"/>
              </w:rPr>
              <w:t xml:space="preserve">Regulas Nr. 1254/2009</w:t>
            </w:r>
            <w:r w:rsidR="00000000" w:rsidRPr="00000000" w:rsidDel="00000000">
              <w:rPr>
                <w:rtl w:val="0"/>
              </w:rPr>
              <w:t xml:space="preserve"> 1.pants;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projektā veiktos labojumus un veikt nepieciešamos precizējumus, ņemot vērā, ka atbilstoši juridiskās tehnikas prasībām, saīsinājumus piesaka pirmajā vietā juridiskajā tekstā, kur lietots attiecīgais saīsināmais jēdziens vai termins. Tāpat pieteiktie saīsinājumi konsekventi lietojami tālāk dokumenta tekstā. Vēršam uzmanību, ka minētais attiecas arī uz atsauču veidošanu </w:t>
            </w:r>
            <w:r w:rsidR="00000000" w:rsidRPr="00000000" w:rsidDel="00000000">
              <w:rPr>
                <w:rtl w:val="0"/>
              </w:rPr>
              <w:t xml:space="preserve">uz Eiropas Savienības tiesību aktiem. Lūdzam atsauces noformēt atbilstoši Ministru kabineta 2009. gada 3. februāra noteikumiem </w:t>
            </w:r>
            <w:r w:rsidR="00000000" w:rsidRPr="00000000" w:rsidDel="00000000">
              <w:rPr>
                <w:rtl w:val="0"/>
              </w:rPr>
              <w:t xml:space="preserve">Nr</w:t>
            </w:r>
            <w:r w:rsidR="00000000" w:rsidRPr="00000000" w:rsidDel="00000000">
              <w:rPr>
                <w:rtl w:val="0"/>
              </w:rPr>
              <w:t xml:space="preserve">. 108 „Normatīvo aktu projektu sagatavošanas noteikumi” 4. nodaļai</w:t>
            </w:r>
            <w:r w:rsidR="00000000" w:rsidRPr="00000000" w:rsidDel="00000000">
              <w:rPr>
                <w:rtl w:val="0"/>
              </w:rPr>
              <w:t xml:space="preserve">, nepieciešamības gadījumā, veidojot saīsinājumu. P</w:t>
            </w:r>
            <w:r w:rsidR="00000000" w:rsidRPr="00000000" w:rsidDel="00000000">
              <w:rPr>
                <w:rtl w:val="0"/>
              </w:rPr>
              <w:t xml:space="preserve">iemēram, "Eiropas Parlamenta un Padomes 2014. gada 3. aprīļa Regulas (ES) </w:t>
            </w:r>
            <w:r w:rsidR="00000000" w:rsidRPr="00000000" w:rsidDel="00000000">
              <w:rPr>
                <w:rtl w:val="0"/>
              </w:rPr>
              <w:t xml:space="preserve">Nr</w:t>
            </w:r>
            <w:r w:rsidR="00000000" w:rsidRPr="00000000" w:rsidDel="00000000">
              <w:rPr>
                <w:rtl w:val="0"/>
              </w:rPr>
              <w:t xml:space="preserve">. 376/2014 par ziņošanu, analīzi un turpmākajiem pasākumiem attiecībā uz atgadījumiem civilajā aviācijā un ar ko groza Eiropas Parlamenta un Padomes Regulu (ES) </w:t>
            </w:r>
            <w:r w:rsidR="00000000" w:rsidRPr="00000000" w:rsidDel="00000000">
              <w:rPr>
                <w:rtl w:val="0"/>
              </w:rPr>
              <w:t xml:space="preserve">Nr</w:t>
            </w:r>
            <w:r w:rsidR="00000000" w:rsidRPr="00000000" w:rsidDel="00000000">
              <w:rPr>
                <w:rtl w:val="0"/>
              </w:rPr>
              <w:t xml:space="preserve">. 996/2010 un atceļ Eiropas Parlamenta un Padomes Direktīvu 2003/42/EK, Komisijas Regulas (EK) </w:t>
            </w:r>
            <w:r w:rsidR="00000000" w:rsidRPr="00000000" w:rsidDel="00000000">
              <w:rPr>
                <w:rtl w:val="0"/>
              </w:rPr>
              <w:t xml:space="preserve">Nr</w:t>
            </w:r>
            <w:r w:rsidR="00000000" w:rsidRPr="00000000" w:rsidDel="00000000">
              <w:rPr>
                <w:rtl w:val="0"/>
              </w:rPr>
              <w:t xml:space="preserve">. 1321/2007 un (EK) </w:t>
            </w:r>
            <w:r w:rsidR="00000000" w:rsidRPr="00000000" w:rsidDel="00000000">
              <w:rPr>
                <w:rtl w:val="0"/>
              </w:rPr>
              <w:t xml:space="preserve">Nr</w:t>
            </w:r>
            <w:r w:rsidR="00000000" w:rsidRPr="00000000" w:rsidDel="00000000">
              <w:rPr>
                <w:rtl w:val="0"/>
              </w:rPr>
              <w:t xml:space="preserve">. 1330/2007 (turpmāk- Regula </w:t>
            </w:r>
            <w:r w:rsidR="00000000" w:rsidRPr="00000000" w:rsidDel="00000000">
              <w:rPr>
                <w:rtl w:val="0"/>
              </w:rPr>
              <w:t xml:space="preserve">Nr</w:t>
            </w:r>
            <w:r w:rsidR="00000000" w:rsidRPr="00000000" w:rsidDel="00000000">
              <w:rPr>
                <w:rtl w:val="0"/>
              </w:rPr>
              <w:t xml:space="preserve">. 376/2014)". </w:t>
            </w:r>
            <w:r w:rsidR="00000000" w:rsidRPr="00000000" w:rsidDel="00000000">
              <w:rPr>
                <w:rtl w:val="0"/>
              </w:rPr>
              <w:t xml:space="preserve">Minētais attiecas uz tādām atsaucēm un projektā </w:t>
            </w:r>
            <w:r w:rsidR="00000000" w:rsidRPr="00000000" w:rsidDel="00000000">
              <w:rPr>
                <w:rtl w:val="0"/>
              </w:rPr>
              <w:t xml:space="preserve">nepieteiktajiem saīsinājumiem kā, piemēram: " Regulas </w:t>
            </w:r>
            <w:r w:rsidR="00000000" w:rsidRPr="00000000" w:rsidDel="00000000">
              <w:rPr>
                <w:rtl w:val="0"/>
              </w:rPr>
              <w:t xml:space="preserve">Nr</w:t>
            </w:r>
            <w:r w:rsidR="00000000" w:rsidRPr="00000000" w:rsidDel="00000000">
              <w:rPr>
                <w:rtl w:val="0"/>
              </w:rPr>
              <w:t xml:space="preserve">. 1254/2009", "Regulas Nr.2015/1998", "Regulas </w:t>
            </w:r>
            <w:r w:rsidR="00000000" w:rsidRPr="00000000" w:rsidDel="00000000">
              <w:rPr>
                <w:rtl w:val="0"/>
              </w:rPr>
              <w:t xml:space="preserve">Nr</w:t>
            </w:r>
            <w:r w:rsidR="00000000" w:rsidRPr="00000000" w:rsidDel="00000000">
              <w:rPr>
                <w:rtl w:val="0"/>
              </w:rPr>
              <w:t xml:space="preserve">. 376/2014", "Regulas </w:t>
            </w:r>
            <w:r w:rsidR="00000000" w:rsidRPr="00000000" w:rsidDel="00000000">
              <w:rPr>
                <w:rtl w:val="0"/>
              </w:rPr>
              <w:t xml:space="preserve">Nr</w:t>
            </w:r>
            <w:r w:rsidR="00000000" w:rsidRPr="00000000" w:rsidDel="00000000">
              <w:rPr>
                <w:rtl w:val="0"/>
              </w:rPr>
              <w:t xml:space="preserve">. 2017/373".</w:t>
            </w:r>
            <w:r w:rsidR="00000000" w:rsidRPr="00000000" w:rsidDel="00000000">
              <w:rPr>
                <w:rtl w:val="0"/>
              </w:rPr>
              <w:t xml:space="preserve">Vienlaicīgi lūdzam pārbaudīt Eiropas Savienības tiesību aktu pierakstu arī anotācijā, kur konstatējami neprecīzi nosaukumi, piemēram, Regula Nr. 376/2014 anotācijas 5. punktā norādīta kā "Eiropas Parlamenta un Padomes 2014. gada 3. aprīļa Regula (ES) Nr. 376/2014 par ziņošanu, analīzi un turpmākajiem pasākumiem attiecībā uz atgadījumiem civilajā aviācijā (publicēta Eiropas Savienības Oficiālajā Vēstnesī L 122/18, 24.4.2014.)".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apstiprināt aviācijas drošības programmu civilās aviācijas lidlaukiem, kuriem šo noteikumu </w:t>
            </w:r>
            <w:r w:rsidR="00000000" w:rsidRPr="00000000" w:rsidDel="00000000">
              <w:rPr>
                <w:rtl w:val="0"/>
              </w:rPr>
              <w:t xml:space="preserve">3.30. </w:t>
            </w:r>
            <w:r w:rsidR="00000000" w:rsidRPr="00000000" w:rsidDel="00000000">
              <w:rPr>
                <w:rtl w:val="0"/>
              </w:rPr>
              <w:t xml:space="preserve">apakšpunktā</w:t>
            </w:r>
            <w:r w:rsidR="00000000" w:rsidRPr="00000000" w:rsidDel="00000000">
              <w:rPr>
                <w:rtl w:val="0"/>
              </w:rPr>
              <w:t xml:space="preserve"> noteiktajā kārtībā ir piemērots Komisijas 2009. gada 18. decembra </w:t>
            </w:r>
            <w:r w:rsidR="00000000" w:rsidRPr="00000000" w:rsidDel="00000000">
              <w:rPr>
                <w:rtl w:val="0"/>
              </w:rPr>
              <w:t xml:space="preserve">Regulas (ES) Nr.1254/2009</w:t>
            </w:r>
            <w:r w:rsidR="00000000" w:rsidRPr="00000000" w:rsidDel="00000000">
              <w:rPr>
                <w:rtl w:val="0"/>
              </w:rPr>
              <w:t xml:space="preserve">, ar ko nosaka kritērijus, lai ļautu dalībvalstīm atkāpties no kopējiem pamatstandartiem civilās aviācijas drošības jomā un pieņemt alternatīvus drošības pasākumus (turpmāk – Regula Nr. 1254/2009) 1.pants;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4.punktā un citās projekta normās pamatā uzskaitīta iestāžu kompetence civilās aviācijas drošības jomā, aicinām izvērtēt projekta vienības par katra subjekta pienākumiem, nodrošinot, ka netiek dublētas citos normatīvajos aktos, tai skaitā nozaru likumos un iestāžu nolikumos, jau noteiktas tiesības un pienākumi. Piemēram, virkne iestāžu un personu pienēkumu noteikti likuma "Par aviāciju" septītajā nodaļā "Civilās aviācijas drošība", Valsts drošibas dienesta pienākumi noteikti Valsts drošības iestāžu likuma 15. pantā,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minēto normu mērķis ir koordinēt institūciju darbību civilās aviācijas drošības jautājumos, aicinām apsvērt iespēju šādu koordināciju risināt ar citiem līdzekļiem, piemēram, rīcības plānu, kurā noteikta institūciju atbildība, nevis ar Ministru kabienta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iespēju atsaukties uz likumu “Par aviāciju”, jo tajā nav iekļauti pienākumi, kas attiecas uz Drošības programmas regulējumu. Eiropas Komisijas inspekcija atzinusi, ka iestāžu pienākumiem jābūt noteiktiem dalībvalsts drošības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Civilās aviācijas aģentūrai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izstrādāt aviācijas drošības pasākumu kopumu saskaņā ar nacionālajām un Eiropas Savienības tiesību normām, ņemot vērā civilās aviācijas praksē izmantojamo aviācijas drošības procedūru un tehnoloģiju attīstību, un nodrošināt šo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 apakšpunktā Civilās aviācijas aģentūrai ir paredzēts pienākums izstrādāt aviācijas drošības pasākumu kopumu saskaņā ar nacionālajām un Eiropas Savienības tiesību normām. Lūdzam izvērtēt nepieciešamību papildināt projekta 4.2.apakšpunktu, paredzot tajā, ka aviācijas drošības pasākumi tiek izstrādāti arī saskaņā ar starptautiskajām tiesībām, ņemot vērā, ka virkne ar nosacījumiem aviācijas drošības nodrošināšanai ir paredzēti Latvijas Republikai saistošajā Konvencijā par starptautisko civilo aviāciju un īpaši tās 17.pielikumā. Minētais ir attiecināms arī uz projekta 8.1. un 9.1.apakšpunktā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izstrādāt aviodrošības pasākumu kopumu saskaņā ar nacionālajām, Eiropas Savienības un starptautiskajām tiesību normām, ņemot vērā civilās aviācijas praksē izmantojamo aviodrošības procedūru un tehnoloģiju attīstību, un nodrošināt šo pasākumu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apstiprināt aviācijas drošības programmu civilās aviācijas lidlaukiem, kuriem šo noteikumu </w:t>
            </w:r>
            <w:r w:rsidR="00000000" w:rsidRPr="00000000" w:rsidDel="00000000">
              <w:rPr>
                <w:rtl w:val="0"/>
              </w:rPr>
              <w:t xml:space="preserve">4.28. </w:t>
            </w:r>
            <w:r w:rsidR="00000000" w:rsidRPr="00000000" w:rsidDel="00000000">
              <w:rPr>
                <w:rtl w:val="0"/>
              </w:rPr>
              <w:t xml:space="preserve">apakšpunktā</w:t>
            </w:r>
            <w:r w:rsidR="00000000" w:rsidRPr="00000000" w:rsidDel="00000000">
              <w:rPr>
                <w:rtl w:val="0"/>
              </w:rPr>
              <w:t xml:space="preserve"> noteiktajā kārtībā ir piemērots </w:t>
            </w:r>
            <w:r w:rsidR="00000000" w:rsidRPr="00000000" w:rsidDel="00000000">
              <w:rPr>
                <w:rtl w:val="0"/>
              </w:rPr>
              <w:t xml:space="preserve">Regulas Nr. 1254/2009</w:t>
            </w:r>
            <w:r w:rsidR="00000000" w:rsidRPr="00000000" w:rsidDel="00000000">
              <w:rPr>
                <w:rtl w:val="0"/>
              </w:rPr>
              <w:t xml:space="preserve"> 1.pants;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projekta 4.6. punktā norādīta korekta atsauce uz tā 4.28. apakšpunktu, jo tas neparedz izņēmuma noteikumus vai noteikumus attiecībā uz civilās aviācijas lidlaukiem. Projekta 4.28. apakšpunkts paredz noteikumus par nepieciešamību veikt un pastāvīgi aktualizēt riska novērtējumu lidostām, kas šķietami nav saistīts ar projekta 4.6. apakšpunktu. Attiecīgi lūdzam veikt nepieciešamos precizējumus projekta 4.6. apakšpunkta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apstiprināt aviācijas drošības programmu civilās aviācijas lidlaukiem, kuriem šo noteikumu </w:t>
            </w:r>
            <w:r w:rsidR="00000000" w:rsidRPr="00000000" w:rsidDel="00000000">
              <w:rPr>
                <w:rtl w:val="0"/>
              </w:rPr>
              <w:t xml:space="preserve">3.30. </w:t>
            </w:r>
            <w:r w:rsidR="00000000" w:rsidRPr="00000000" w:rsidDel="00000000">
              <w:rPr>
                <w:rtl w:val="0"/>
              </w:rPr>
              <w:t xml:space="preserve">apakšpunktā</w:t>
            </w:r>
            <w:r w:rsidR="00000000" w:rsidRPr="00000000" w:rsidDel="00000000">
              <w:rPr>
                <w:rtl w:val="0"/>
              </w:rPr>
              <w:t xml:space="preserve"> noteiktajā kārtībā ir piemērots Komisijas 2009. gada 18. decembra </w:t>
            </w:r>
            <w:r w:rsidR="00000000" w:rsidRPr="00000000" w:rsidDel="00000000">
              <w:rPr>
                <w:rtl w:val="0"/>
              </w:rPr>
              <w:t xml:space="preserve">Regulas (ES) Nr.1254/2009</w:t>
            </w:r>
            <w:r w:rsidR="00000000" w:rsidRPr="00000000" w:rsidDel="00000000">
              <w:rPr>
                <w:rtl w:val="0"/>
              </w:rPr>
              <w:t xml:space="preserve">, ar ko nosaka kritērijus, lai ļautu dalībvalstīm atkāpties no kopējiem pamatstandartiem civilās aviācijas drošības jomā un pieņemt alternatīvus drošības pasākumus (turpmāk – Regula Nr. 1254/2009) 1.pants;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izstrādāt un uzturēt aviācijas drošības atgadījumu/incidentu ziņošanas, analīzes un korektīvo darbību sistēmu atbilstoši </w:t>
            </w:r>
            <w:r w:rsidR="00000000" w:rsidRPr="00000000" w:rsidDel="00000000">
              <w:rPr>
                <w:rtl w:val="0"/>
              </w:rPr>
              <w:t xml:space="preserve">Regulas Nr. 376/2014</w:t>
            </w:r>
            <w:r w:rsidR="00000000" w:rsidRPr="00000000" w:rsidDel="00000000">
              <w:rPr>
                <w:rtl w:val="0"/>
              </w:rPr>
              <w:t xml:space="preserve"> 13.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4.31. apakšpunktā simbolu „/” aizstāt ar saikli „un” vai saikli „vai”, jo no "atgadījumu/incidentu" nav skaidrs, vai ar simbolu „/” tiek saprasts saiklis „un” vai saiklis „vai”. Tāpat no pašreizējā formulējuma var tikt saprasts, ka "atgadījums" un "incidents" ir sinonīmi jēdzieni, taču atbilstoši Regulai 376/2014 minētajiem terminiem ir atšīrīgs tvērums. Tāpat norādām, ka likumā "Par aviāciju" tiek izmantots jēdziens "aviācijas nelaimes gadījumi un incidenti".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izstrādāt un uzturēt aviācijas drošības atgadījumu un incidentu ziņošanas, analīzes un korektīvo darbību sistēmu atbilstoši Eiropas Parlamenta un Padomes 2014. gada 3. aprīļa </w:t>
            </w:r>
            <w:r w:rsidR="00000000" w:rsidRPr="00000000" w:rsidDel="00000000">
              <w:rPr>
                <w:rtl w:val="0"/>
              </w:rPr>
              <w:t xml:space="preserve">Regulas (ES) Nr.376/2014</w:t>
            </w:r>
            <w:r w:rsidR="00000000" w:rsidRPr="00000000" w:rsidDel="00000000">
              <w:rPr>
                <w:rtl w:val="0"/>
              </w:rPr>
              <w:t xml:space="preserve">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(turpmāk - Regula Nr.376/2014) 13. panta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izstrādāt un uzturēt aviācijas drošības atgadījumu/incidentu ziņošanas, analīzes un korektīvo darbību sistēmu atbilstoši </w:t>
            </w:r>
            <w:r w:rsidR="00000000" w:rsidRPr="00000000" w:rsidDel="00000000">
              <w:rPr>
                <w:rtl w:val="0"/>
              </w:rPr>
              <w:t xml:space="preserve">Regulas Nr. 376/2014</w:t>
            </w:r>
            <w:r w:rsidR="00000000" w:rsidRPr="00000000" w:rsidDel="00000000">
              <w:rPr>
                <w:rtl w:val="0"/>
              </w:rPr>
              <w:t xml:space="preserve"> 13.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slīpsvītru ar “un/vai” vai arī attiecīgu saikli, jo slīpsvītrai kā tehniskai zīmei tekstā ir dažādas funkcijas un tā skaidri nepauž noteiktu nozīmi, līdz ar to tiesību norma kļūst neskaidra.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izstrādāt un uzturēt aviācijas drošības atgadījumu un incidentu ziņošanas, analīzes un korektīvo darbību sistēmu atbilstoši Eiropas Parlamenta un Padomes 2014. gada 3. aprīļa </w:t>
            </w:r>
            <w:r w:rsidR="00000000" w:rsidRPr="00000000" w:rsidDel="00000000">
              <w:rPr>
                <w:rtl w:val="0"/>
              </w:rPr>
              <w:t xml:space="preserve">Regulas (ES) Nr.376/2014</w:t>
            </w:r>
            <w:r w:rsidR="00000000" w:rsidRPr="00000000" w:rsidDel="00000000">
              <w:rPr>
                <w:rtl w:val="0"/>
              </w:rPr>
              <w:t xml:space="preserve">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(turpmāk - Regula Nr.376/2014) 13. panta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veikt iepriekšējās darbības pārbaudi visām personām, kas tiek pieņemtas darbā un kurām nepieciešams saņemt lidostas identitātes karti. Pēc saņemta apliecinājuma par sekmīgi veiktu pastiprināto iepriekšējās darbības pārbaudi un drošības izpratnes mācībām izsniegt lidostas identitātes kartes, kas personām dod tiesības iekļūt lidostas ierobežotas iekļuves drošības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5.6. un 5.7.apakšpunktā ietvertos noteikumus par lidostas identifikācijas kartes izsniegšanu, kas personām dod tiesības iekļūt lidostas ierobežotas iekļuves drošības zonā kontekstā ar projekta 5.5. apakšpunkta skaidrojumu, no kura izriet, ka kontrolējamās zonas ir ierobežotas iekļuves drošības zonas, kritiskās daļas un norobežotās lidostu zonas. Attiecīgi, ja iekļuve ierobežotas iekļuves zonās tiek kontrolēta ar identifikācijas kartēm nav pilnībā skaidrs kā tiek nodrošināta kontrole kritiskajā daļā un norobežotajā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projekta 5.8., 5.9. un 5.10. apakšpunktos, paredzot noteikumus iekļuves kontrolei, nav norādītas visas projektā minētās kontrolējamās zonas, līdz ar to nav skaidri noteikumi attiecībā uz citām kontrolējamām zonām. Neveidojas pilnīgi skaidra uz saprotama kopaina par kontroli un iekļuvi kontrolējamās zonās. Attiecīgi lūdzam veikt nepieciešamos precizējumus vai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veikt iepriekšējās darbības pārbaudi visām personām, kas tiek pieņemtas darbā un kurām nepieciešams saņemt lidostas identitātes karti. Pēc saņemta apliecinājuma par sekmīgi veiktu pastiprināto iepriekšējās darbības pārbaudi un drošības izpratnes mācībām izsniegt lidostas identitātes kartes, kas personām dod tiesības iekļūt lidostas ierobežotas iekļuves drošības zonā;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veikt nepieciešamos papildu drošības pasākumus, ja saskaņā ar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4.12. </w:t>
            </w:r>
            <w:r w:rsidR="00000000" w:rsidRPr="00000000" w:rsidDel="00000000">
              <w:rPr>
                <w:rtl w:val="0"/>
              </w:rPr>
              <w:t xml:space="preserve">apakšpunktu</w:t>
            </w:r>
            <w:r w:rsidR="00000000" w:rsidRPr="00000000" w:rsidDel="00000000">
              <w:rPr>
                <w:rtl w:val="0"/>
              </w:rPr>
              <w:t xml:space="preserve"> ir saņemta informācija par paaugstinātu apdraudējumu civilās aviācijas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5.24. apakšpunkta redakciju un izvērtēt tajā ietverto atsauci uz projekta 4.1. apakšpunktu. Vēršam uzmanību, ka projekta 4.1. apakšpunktā noteikts civilās aviācijas aģentūras pienākums nodrošināt, lai lidostām, civilās aviācijas lidlaukiem, Latvijas Republikā reģistrēto gaisa kuģu ekspluatantiem un tiesību subjektiem būtu piekļuve informācijai par tām uz viņiem attiecināmajām prasībām, kas noteiktas Komisijas 2015. gada 16. novembra Īstenošanas Lēmumā C (2015) 8005, ar ko nosaka sīki izstrādātus pasākumus tādu kopīgu pamatstandartu īstenošanai aviācijas drošības jomā, kuros ir Regulas (EK) Nr.300/2008 18. panta "a" punktā minētā informācija, nevis pienākums informēt par paaugstinātu apdraudējumu civilās aviācijas darbībai, kā tas noteikts, piemēram, projekta 14.2. apakšpunktā. Attiecīgi secināms, ka projekta 4.1. apakšpunkts saturiski neatbilst projekta 5.24. apakšpunkta mērķim un nesaskan ar no tā izrietošo, šķietamo projekta 4.1. apakšpunkta mērķi. Lūdzam veikt nepieciešamos precizējumus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veikt nepieciešamos papildu aviodrošības pasākumus, ja saskaņā ar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apakšpunktu</w:t>
            </w:r>
            <w:r w:rsidR="00000000" w:rsidRPr="00000000" w:rsidDel="00000000">
              <w:rPr>
                <w:rtl w:val="0"/>
              </w:rPr>
              <w:t xml:space="preserve"> ir saņemta informācija par paaugstinātu apdraudējumu civilās aviācijas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Civilās aviācijas lidlauka īpašniekam un/vai ekspluatantam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formulējumu "un/vai"  aizstāt ar saikli "un" vai saikli "vai".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lidlauka īpašniekam vai ekspluatantam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veikt riska novērtējumu pirms katra lidojuma, kuru plānots veikt uz  augsta riska citu valstu lidostām;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projektā ievērot vienotu pieeju, lietot konkrētus, viennozīmīgi saprotamus formulējumus un attiecīgi precizēt projektā lietoto jēdzienu "riska novērtējums", jo tas pietiekami konkrēti nenorāda uz to, kāda konkrētā riska novērtējums ar to ir saprotams. Projektā paralēli lietojot vispārīgu formulējumu "riska novērtējums" un konkretizētu formulējumu, piemēram, "aviācijas drošības riska novērtējums" projekta adresātam var būt apgrūtināta tiesību normu izpratne. Līdz ar to ir ieteicams projektā nodrošināt vienveidīgu un nepārprotamu terminoloģiju.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veikt aviācijas drošības riska novērtējumu pirms katra lidojuma, kuru plānots veikt uz augsta riska citu valstu lidostām;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organizēt </w:t>
            </w:r>
            <w:r w:rsidR="00000000" w:rsidRPr="00000000" w:rsidDel="00000000">
              <w:rPr>
                <w:rtl w:val="0"/>
              </w:rPr>
              <w:t xml:space="preserve">Regulas Nr. 2015/1998</w:t>
            </w:r>
            <w:r w:rsidR="00000000" w:rsidRPr="00000000" w:rsidDel="00000000">
              <w:rPr>
                <w:rtl w:val="0"/>
              </w:rPr>
              <w:t xml:space="preserve"> pielikuma 11.2.3.9. apakšpunktā noteiktās mācības un/vai šīs Regulas pielikuma 11.2.7. apakšpunktā noteiktās drošības izpratnes mācības visām personām, kas tiek pieņemtas darbā ar piekļuves tiesībām identificējamai gaisa kravai vai pastam;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projekta 8.5., 9.4., 10.4. un 11.3. apakšpunktos ietverto atsauci uz mācībām, kuras noteiktas Regulas 2015/1998 11.2.3.9. apakšpunktā, ņemot vērā, ka no Regulas 2015/1998 11.2.3.9. apakšpunkta redakcijas izriet mācību procesā iegūstamās kompetences, nevis konkrētas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9.4. un 10.3.apakšpunkts atbilstoši pēdējiem Eiropas Savienības tiesību aktu grozījumiem, precizējot atsauci uz Regulas Nr.2015/1998 pielikuma 11.2.3.10.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organizēt </w:t>
            </w:r>
            <w:r w:rsidR="00000000" w:rsidRPr="00000000" w:rsidDel="00000000">
              <w:rPr>
                <w:rtl w:val="0"/>
              </w:rPr>
              <w:t xml:space="preserve">Regulas Nr. 2015/1998</w:t>
            </w:r>
            <w:r w:rsidR="00000000" w:rsidRPr="00000000" w:rsidDel="00000000">
              <w:rPr>
                <w:rtl w:val="0"/>
              </w:rPr>
              <w:t xml:space="preserve"> pielikuma 11.2.3.9. apakšpunktā noteiktās mācības attiecīgo kompetenču iegūšanai visām personām, kas tiek pieņemtas darbā ar piekļuves tiesībām identificējamai gaisa kravai vai pastam;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Tiesību subjektam, kas apstiprināts lidojuma laikā patērējamo krājumu zināmā piegādātāja un lidostas krājumu zināmā piegādātāja statusā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projekta 11. punkts, atbilstoši Regulas 2015/1998 pielikuma 11.1. apakšpunktam, nav papildināms ar apakšpunktu, kurš paredz nepieciešamību nodrošināt standarta iepriekšējās darbības pārbaudes un pastiprinātās iepriekšējās darbības pārbaudes veikšanu visām personām, kas tiek pieņemtas darbā, ņemot vērā, ka personas piekļūst lidostas krājumiem un iekļūst kontrolējamās zonās, līdzīgi kā tas paredzēts, piemēram, projekta 10.3. apakšpunktā. Nepieciešamības gadījumā lūdzam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2015/1998 pielikuma 8.1.5 punkts neparedz pienākumu lidojuma laikā patērējamo krājumu zināmā piegādātāja personālam, kā arī 9.1.4. punkts - lidostas krājumu zināmā piegādātāja personālam – veikt iepriekšējās darbības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subjektam, kas apstiprināts lidojuma laikā patērējamo krājumu zināmā piegādātāja un lidostas krājumu zināmā piegādātāja statusā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norīkot par drošību atbildīgo  personu, kas koordinē un uzrauga šajos noteikumos noteikto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11.2. apakšpunkta formulējumu ņemot vērā, ka atbilstoši Regulas 2015/1998 pielikuma 11.2.5. apakšpunkta skaidrojumam personas, kas valsts vai vietējā mērogā vispārīgi atbild par to, lai drošības programmas un to īstenošana atbilstu visiem tiesiskajiem noteikumiem  ir </w:t>
            </w:r>
            <w:r w:rsidR="00000000" w:rsidRPr="00000000" w:rsidDel="00000000">
              <w:rPr>
                <w:u w:val="single"/>
                <w:rtl w:val="0"/>
              </w:rPr>
              <w:t xml:space="preserve">drošības vadītāji</w:t>
            </w:r>
            <w:r w:rsidR="00000000" w:rsidRPr="00000000" w:rsidDel="00000000">
              <w:rPr>
                <w:b w:val="1"/>
                <w:rtl w:val="0"/>
              </w:rPr>
              <w:t xml:space="preserve">.</w:t>
            </w:r>
            <w:r w:rsidR="00000000" w:rsidRPr="00000000" w:rsidDel="00000000">
              <w:rPr>
                <w:rtl w:val="0"/>
              </w:rPr>
              <w:t xml:space="preserve"> Ierosinām izvērtēt, vai projekta 11.2. apakšpunkta redakcija nav jāprecizē, piemēram, līdzīgi projekta 10.2.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norīkot drošības vadītāju, kas koordinē un uzrauga šajos noteikumos noteikto pasākumu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Muitas pārvaldei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punktos attiecībā uz muitu lietot vienādu terminoloģiju "Muitas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ieņēmumu dienestam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apakšpunktu pilnvērtīgi, skaidri un nepārprotami atspoguļojot projekta mērķi un tiesikā regulējuma būtību, kā arī tā saistību ar saistībām, kas Latvijai izriet no Eiropas Savienības tiesību aktiem. Anotācijas 1.3. apakšpunkta risinājuma aprakstā sniegtā informācija šobrīd pilnībā neatspoguļo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lietot konkrētus un viennozīmīgi saprotamus formulējumus, nolūkā nodrošināt skaidru un saprotamu projekta skaidrojumu.Piemēram, šobrīd lietoti formulējumi "būtiskākie grozījumi Noteikumu projektā", "tiek papildināts", "paredz precizēt" u.tml. tomēr norādām, ka ar projekts ir jauns normatīvais akts, nevis grozījumi noteikumos Nr.397.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apakšpunkta pašreizējās situācijas sadaļā veikto Eiropas Savienības normatīvo aktu uzskaitījumu, jo no pašreizējā formulējuma šķietami saprotams, ka ar noteikumiem Nr. 397 bija ieviestas tikai trīs regulu prasības, bet pamatojoties uz noteikumu Nr. 397 un to grozījumu anotācijām, ar noteikumiem Nr. 397 ir ieviesta arī, piemēram, Komisijas 2017.gada 12. maija Īstenošanas Regula (ES) Nr. 2017/815, ar ko groza Īstenošanas regulu (ES) 2015/1998, precizējot, saskaņojot un vienkāršojot dažus konkrētus aviācijas drošības pasākumus un Eiropas Parlamenta un Padomes 2006.gada 5.jūlija Regula (ES) Nr. 1107/2006 par invalīdu un personu ar ierobežotām pārvietošanās spējām tiesībām, ceļojot ar gaisa transportu. Nepieciešamības gadījumā lūdzam veikt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2.1. apakšpunkta sabiedrības grupu, kuras tiesiskais regulējums ietekmē, vai varētu ietekmēt uzskaitījumu, jo pašreizējais uzskaitījums šķietami pilnībā neaptver visus subjektus, piemēram, nav minēti tādi projektā norādītie subjekti kā: lidostas ekspluatants, gaisa satiksmes pakalpojumu sniedzējs, gaisa kuģu ekspluatanti, kravu aģenti. Lūdzam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16.punktā ir noteikti Valsts robežsardzes pienākumi robežšķērsošanas vietā, kas izveidota lidostā vai civilās aviācijas lidlaukā.  Ņemot vērā minēto, lūdzam papildināt projekta sākotnējās ietekmes novērtējuma ziņojuma (anotācijas) 2.1. sadaļu, norādot arī Valsts robežsardzi to iestāžu starpā, kuras projekts ietekmē.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2.1. un 7.1.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 sadaļā izvēlēties iespēju "Jā" attiecībā uz to, ka projekts ietekmēs spēkā esošo tiesību normu sistēmu. Informāciju par tiesību aktiem, kas ietekmēs tiesību normu sistēmu, norāda 4.1.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 anotācijas 4.2. sadaļas svītrot informāciju attiecībā uz Ministru kabineta 2010.gada 27.aprīļa noteikumiem Nr. 397 „Noteikumi par Valsts civilās aviācijas drošības programmu”, jo Vadlīnijās tiesību akta projekta sākotnējās ietekmes novērtēšanai un novērtējuma ziņojuma sagatavošanai vienotajā tiesību aktu izstrādes un saskaņošanas portālā norādīts: ja spēkā esošā tiesību akta atzīšana par spēku zaudējušu ir paredzēta izstrādātajā tiesību akta projektā, to norāda nevis šajā apakšpunktā,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 sadaļu, ņemot vērā projekta 22. punktu, kurā paredzēts atzīt par spēku zaudējušiem noteikumus Nr.397.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sākotnējās ietekmes novērtējuma ziņojuma (anotācijas) 4.sadaļu, ņemot vērā to, ka ar projekta spēkā stāšanos spēku zaudēs Ministru kabineta  2010.gada 27.aprīļa noteikumi Nr.397 „Noteikumi par Valsts civilās aviācijas drošības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5.4. apakšpunkta 1. tabulu veidot tā, lai katram Eiropas Savienības tiesību aktam būtu sava sadaļa un tie visi netiktu norādīti vienkopus, tādējādi uzlabojot uztveramību un pārskatāmību.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tiesību akti ir nodalīti atsevišķās tabulas ailēs. To noformējums neietekmē normatīvā akta piemērošanu un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apakšpunkta 1. tabulu un precizēt tajā "C" un "D" ailes, kur daļa no tām nav aizpildīta.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w:t>
            </w:r>
            <w:r w:rsidR="00000000" w:rsidRPr="00000000" w:rsidDel="00000000">
              <w:rPr>
                <w:rtl w:val="0"/>
              </w:rPr>
              <w:t xml:space="preserve">"C" ailē norāda, vai attiecīgo Eiropas Savienības tiesību aktu normas projektā tiek pārņemtas vai ieviestas pilnībā vai daļēji. Ja tiesību akta norma tiek pārņemta vai ieviesta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sniedz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precīzi norāda, kad un kādā veidā tiks nodrošināta minēto saistību izpilde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norāda institūciju, kura ir atbildīga par šo saistību izpildi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 ailē norāda, vai attiecīgais projekta pants, daļa, punkts, apakšpunkts (kas norādīts šīs tabulas B ailē) paredz stingrākas prasības, nekā paredzēts attiecīgajā Eiropas Savienības tiesību akta pantā, daļā, punktā, apakšpunktā. Ja projekts 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sniedz attiecīgu skaidrojumu par šādu prasību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norāda iespējamās alternatīvas (t. sk. alternatīvas, kas neparedz tiesiskā regulējuma izstrādi), kādos gadījumos būtu iespējams izvairīties no stingrāku prasību noteikšanas, nekā paredzēts attiecīgajos Eiropas Savienības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apakšpunkta 1. tabulas aili "Regulas Nr. 2015/1998 12. nodaļa un pielikuma 6.8. nodaļa", ņemot vērā, ka nevis regulas 2015/1998 pamattekstā, bet tās pielikumā ir 12. nodaļa. Tāpat arī ailē "Regulas Nr. 2015/1998 1.6.nodaļa" lūdzam veikt precizējumu, norādot, ka ar 1.6. nodaļu ir saprotama regulas pielikuma 1.6.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5.4. apakšpunkta 1. tabulu un nepieciešamības gadījumā papildināt informāciju par ieviestajām Eiropas Savienības tiesību normām. Vēršam uzmanību, ka no noteikumos Nr.397 (kurus pēc spēkā stāšanās nomainīs šis projekts) spēkā esošu, projektam analoģisku, normu anotācijām izriet, ka, piemēram, ar projekta 8.6. apakšpunktu ieviests regulas 2015/1998 pielikuma 6.3.2.9. apakšpunkts, bet, piemēram, ar projekta 4.14. apakšpunktu - regulas 2015/1998 1.pants. Nepieciešamības gadījumā lūdzam veikt vajadzīgos papildinājumus, tādā veidā nodrošinot, ka anotācijā tiek pilnībā atspoguļota tiesību normu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5.4. apakšpunkta 1. tabulas ailes "Regulas Nr. 300/2008 10. pants" "B" sadaļa nav papildināma arī ar atsauci uz projekta 4.1. apakšpunktu, ņemot vērā, ka pašlaik spēkā esošajos noteikumos Nr. 397 ar 4.1. apakšpunktam analoģisku normu tika ieviestas Regulas 300/2008 10. panta prasības. Nepieciešamības gadījumā lūdzam veikt papildinājumus 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23-TA-1270</w:t>
    </w:r>
    <w:r>
      <w:br/>
    </w:r>
    <w:r w:rsidR="00000000" w:rsidRPr="00000000" w:rsidDel="00000000">
      <w:rPr>
        <w:rtl w:val="0"/>
      </w:rPr>
      <w:t xml:space="preserve">14.12.2023. 09.30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23-TA-1270</w:t>
    </w:r>
    <w:r>
      <w:br/>
    </w:r>
    <w:r w:rsidR="00000000" w:rsidRPr="00000000" w:rsidDel="00000000">
      <w:rPr>
        <w:rtl w:val="0"/>
      </w:rPr>
      <w:t xml:space="preserve">14.12.2023. 09.30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Izziņa_23-TA-1270.docx</dc:title>
</cp:coreProperties>
</file>

<file path=docProps/custom.xml><?xml version="1.0" encoding="utf-8"?>
<Properties xmlns="http://schemas.openxmlformats.org/officeDocument/2006/custom-properties" xmlns:vt="http://schemas.openxmlformats.org/officeDocument/2006/docPropsVTypes"/>
</file>