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21-TA-1339: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aviāciju"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aviāciju"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aviāciju” (turpmāk – Likumprojekts) anotācijā minēts, ka tā mērķis ir precizēt un noteikt skaidru regulējumu attiecībā uz būvniecību aizsargjoslās ap militārajiem lidlaukiem un militārās aviācijas poligoniem. Turpretī atbilstoši Likumprojekta piedāvātajām 113.</w:t>
            </w:r>
            <w:r w:rsidR="00000000" w:rsidRPr="00000000" w:rsidDel="00000000">
              <w:rPr>
                <w:vertAlign w:val="superscript"/>
                <w:rtl w:val="0"/>
              </w:rPr>
              <w:t xml:space="preserve">2</w:t>
            </w:r>
            <w:r w:rsidR="00000000" w:rsidRPr="00000000" w:rsidDel="00000000">
              <w:rPr>
                <w:rtl w:val="0"/>
              </w:rPr>
              <w:t xml:space="preserve">panta sestās daļas un 113.</w:t>
            </w:r>
            <w:r w:rsidR="00000000" w:rsidRPr="00000000" w:rsidDel="00000000">
              <w:rPr>
                <w:vertAlign w:val="superscript"/>
                <w:rtl w:val="0"/>
              </w:rPr>
              <w:t xml:space="preserve">3</w:t>
            </w:r>
            <w:r w:rsidR="00000000" w:rsidRPr="00000000" w:rsidDel="00000000">
              <w:rPr>
                <w:rtl w:val="0"/>
              </w:rPr>
              <w:t xml:space="preserve">panta sestās daļas redakcijām, tiek paredzēts, ka militāro lidlauku un militārās aviācijas poligonu darbības drošībai potenciāli bīstamu objektu būvniecība, ierīkošana un izvietošana “atsevišķos gadījumos” var tikt atļauta pēc savstarpējās vienošanās ar Aizsardzības ministriju. Likumprojekta anotācijas 1.3.punkta “Pašreizējā situācija, problēmas un risinājumi” sadaļā </w:t>
            </w:r>
            <w:r w:rsidR="00000000" w:rsidRPr="00000000" w:rsidDel="00000000">
              <w:rPr>
                <w:i w:val="1"/>
                <w:rtl w:val="0"/>
              </w:rPr>
              <w:t xml:space="preserve">Pašreizējā situācija</w:t>
            </w:r>
            <w:r w:rsidR="00000000" w:rsidRPr="00000000" w:rsidDel="00000000">
              <w:rPr>
                <w:rtl w:val="0"/>
              </w:rPr>
              <w:t xml:space="preserve">, ir minēti principi un kritēriji pēc kuriem tiks vērtēta iespējamā būvniecība aizsargjoslā ap militārajiem lidlaukiem vai militārā aviācijas poligoniem. Lai radītu skaidrību par sagaidāmajām izmaksām un saskaņošanas kārtību, kā arī lai neradītu potenciālus korupcijas riskus un neveicinātu negodīgu konkurenci, minētie kritēriji būtu iekļaujami Ministru kabineta 2015.gada 29.septembra noteikumos Nr.542 “Kārtība, kādā pieprasa un saņem Aizsardzības ministrijas atļauju būvēt, ierīkot un izvietot konkrētu militāro lidlauku un militārās aviācijas poligonu darbības drošībai potenciāli bīstamus objektus un veic to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anotācijā norādītajam, paredzēts, ka anotācijā uzskaitītie principi un kritēriji potenciālo būvniecības projektu izvērtēšanā tiek vērtēti saskaņā ar Aizsardzības ministrijas izstrādātajiem iekšējiem noteikumiem. Atbilstoši anotācijā norādītajam katra šāda projekta izvērtēšana ir individuāla un balstās uz visaptverošu un detalizētu tehnisko izvērtējumu, lai spētu nodrošināt gaisa telpas novērošanai  (pārklājumam) izvirzītās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2015. gada 29. septembra noteikumi Nr. 542 "Kārtība, kādā pieprasa un saņem Aizsardzības ministrijas atļauju būvēt, ierīkot un izvietot konkrētu militāro lidlauku un militārās aviācijas poligonu darbības drošībai potenciāli bīstamus objektus un veic to uzskaiti" jau šobrīd nosaka kārtību, kādā iespējams pieprasīt un saņemt Aizsardzības ministrijas atļauju būvēt, ierīkot un izvietot konkrētu militāro lidlauku un militārās aviācijas poligonu darbības drošībai potenciāli bīstamus objektus.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aviāciju"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aviāciju"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spēkā stāšanās noteikumu ar likumprojekta spēkā stāšanās datumu attiecīgā locījumā vai citu spēkā stāšanās nosacījumu atbilstoši Ministru kabineta 2009. gada 3. februāra noteikumu Nr. 108 "Normatīvo aktu projektu sagatavošanas noteikumi" 30. punktā noteiktajam vai izslēgt noteikumu par likuma spēkā stāšanās laiku, attiecīgi precizējot likumprojekta anotācijas 1.2. punkta sadaļu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nosakot, ka likums stājas spēkā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aviāciju"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aviāciju"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30. punktam, ja nepieciešams, likumprojekta beigās aiz pārejas noteikumiem raksta noteikumus par likuma spēkā stāšanās laiku. Noteikumos par likuma spēkā stāšanās laiku secīgi raksta vārdus "likums stājas spēkā" un likuma spēkā stāšanās datumu attiecīgā locījumā vai citu spēkā stāšanās nosacījumu. Attiecīgi, ja iecerēts, ka likumprojekts stājas spēkā vispārējā kārtībā, proti, atbilstoši Latvijas Republikas Satversmes 69. pantā noteiktajai kārtībai, noteikumu par likuma spēkā stāšanās laiku likumprojektā neraksta.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noteikumu par likumprojekta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aviāciju"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2</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Atsevišķos gadījumos, pēc savstarpējās vienošanās starp Aizsardzības ministriju un fizisko vai juridisko personu, militārā lidlauka darbības drošībai potenciāli bīstamus objektus būvēšana, ierīkošana un izvietošana var tikt atļauta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113.</w:t>
            </w:r>
            <w:r w:rsidR="00000000" w:rsidRPr="00000000" w:rsidDel="00000000">
              <w:rPr>
                <w:vertAlign w:val="superscript"/>
                <w:rtl w:val="0"/>
              </w:rPr>
              <w:t xml:space="preserve">2</w:t>
            </w:r>
            <w:r w:rsidR="00000000" w:rsidRPr="00000000" w:rsidDel="00000000">
              <w:rPr>
                <w:rtl w:val="0"/>
              </w:rPr>
              <w:t xml:space="preserve"> panta sestās daļas redakcija precizējama svītrojot vārdus “atsevišķos gadījumos”, kas var radīt neskaidrības normu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Militārā lidlauka darbības drošībai potenciāli bīstamu objektu būvniecība, ierīkošana un izvietošana ir atļauta, ja starp Aizsardzības ministriju un fizisko vai juridisko personu panākta Ministru kabineta noteiktā kārtībā noslēgta rakstveida vienošanās par Aizsardzības ministrijai atlīdzināmajiem (kompensējamiem) izdevumiem, kas nepieciešami, lai nodrošinātu netraucētu militārā lidlauka drošu darbību. Kompensācijas veidu un atlīdzināšanas kārtību, atbilstoši rakstveida vienošanās noteiktajam, nosaka Aizsardzības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institūciju paustos iebildumus un priekšlikumus, precizēta likumprojekta redakcija, papildinot 113.</w:t>
            </w:r>
            <w:r w:rsidR="00000000" w:rsidRPr="00000000" w:rsidDel="00000000">
              <w:rPr>
                <w:vertAlign w:val="superscript"/>
                <w:rtl w:val="0"/>
              </w:rPr>
              <w:t xml:space="preserve">2</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minētās darbības var tikt atļautas tikai ar Aizsardzības ministrijas saskaņojumu un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2</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 atļauja var tikt izsniegta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2</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Atsevišķos gadījumos, pēc savstarpējās vienošanās starp Aizsardzības ministriju un fizisko vai juridisko personu, militārā lidlauka darbības drošībai potenciāli bīstamus objektus būvēšana, ierīkošana un izvietošana var tikt atļauta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pirmā daļa noteic, ka valsts pārvalde ir pakļauta likumam un tiesībām. Tā darbojas normatīvajos aktos noteiktās kompetences ietvaros. Valsts pārvalde savas pilnvaras  var izmantot tikai atbilstoši pilnvarojuma jēgai un mērķim. Vēršam uzmanību, ka likumprojekta 1. pantā ietvertā vārdkopa "atsevišķos gadījumos" ir pārāk abstrakta. Norādām, ka no likumprojekta 1. panta pirmā teikuma redakcijas nav viennozīmīgi secināms, kādos gadījumos likumprojekta 1. pantā minētā Aizsardzības ministrijas un fiziskās vai juridiskās personas savstarpējā vienošanās ir pieļaujama. Norādām,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(sk. Valsts kanceleja. Normatīvo aktu projektu izstrādes rokasgrāmata, 2016. 17.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 pantu, nodrošinot skaidru un nepārprotamu tajā ietvertās tiesību normas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institūciju paustos iebildumus un priekšlikumus, precizēta likumprojekta redakcija, papildinot 113.</w:t>
            </w:r>
            <w:r w:rsidR="00000000" w:rsidRPr="00000000" w:rsidDel="00000000">
              <w:rPr>
                <w:vertAlign w:val="superscript"/>
                <w:rtl w:val="0"/>
              </w:rPr>
              <w:t xml:space="preserve">2</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minētās darbības var tikt atļautas tikai ar Aizsardzības ministrijas saskaņojumu un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2</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 atļauja var tikt izsniegta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2</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Atsevišķos gadījumos, pēc savstarpējās vienošanās starp Aizsardzības ministriju un fizisko vai juridisko personu, militārā lidlauka darbības drošībai potenciāli bīstamus objektus būvēšana, ierīkošana un izvietošana var tikt atļauta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noteic, ka zaudējumi, kas nodarīti, būvējot, ierīkojot un izvietojot militārā lidlauka darbības drošībai potenciāli bīstamus objektus, tiek atlīdzināti Aizsardzības ministrijai. Vēršam uzmanību, ka kompensāciju būtu jāsaņem iestādei, kura ir militārā lidlauka valdītājs, tādējādi nodrošinot iespēju veikt nepieciešamos pasākumus militārā lidlauka drošas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rosinām precizēt likumprojekta 1. pantu, nosakot, ka izdevumi, kas nepieciešami, lai nodrošinātu netraucētu militārā lidlauka drošu darbību, tiek atlīdzināti attiecīgā valsts aizsardzības objekta valdītājam, vai papildināt likumprojekta anotāciju ar pamatojumu par Aizsardzības ministrijas tiesībām uz likumprojekta 1. pantā minēto kompensāciju.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 ar norādi, ka savstarpējā vienošanās par izdevumu atlīdzināšanu tiek slēgta starp projekta iesniedzēju (fiziska vai juridiska persona) un Aizsardzības ministriju kā konkrēto aizsardzības objektu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 norma izdevumus atlīdzināt Aizsardzības ministrijai ir paredzēta ar nolūku, ņemot vērā, ka nepieciešamie kompensācijas pasākumi vairākos gadījumos var pārsniegt viena konkrētā aizsardzības objekta robežas. Tāpat noteiktos gadījumos var nākties lemt par jauna aizsardzības objekta izveidi vai arī ievērojami paplašināt konkrētā aizsardzības objekta mērogus vai funkcijas, turklāt šādam lēmumam par vienošanos ir ietekme uz valsts aizsardzības sistēmu plašākā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2</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 atļauja var tikt izsniegta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2</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minētās darbības var tikt atļautas tikai ar Aizsardzības ministrijas saskaņojumu un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iecerētajai likuma "Par aviāciju" (turpmāk – likums) 113.</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daļai papildus likuma 113.</w:t>
            </w:r>
            <w:r w:rsidR="00000000" w:rsidRPr="00000000" w:rsidDel="00000000">
              <w:rPr>
                <w:vertAlign w:val="superscript"/>
                <w:rtl w:val="0"/>
              </w:rPr>
              <w:t xml:space="preserve">2 </w:t>
            </w:r>
            <w:r w:rsidR="00000000" w:rsidRPr="00000000" w:rsidDel="00000000">
              <w:rPr>
                <w:rtl w:val="0"/>
              </w:rPr>
              <w:t xml:space="preserve">panta pirmajā daļā minētajai atļaujai nepieciešams saņemt Aizsardzības ministrijas saskaņojumu. Tādējādi no likumprojekta 1. pantā ietvertās likuma 113.</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daļas redakcijas nav viennozīmīgi saprotams, vai Aizsardzības ministrija izsniedz vēl kādu dokumentu papildus likuma 113.</w:t>
            </w:r>
            <w:r w:rsidR="00000000" w:rsidRPr="00000000" w:rsidDel="00000000">
              <w:rPr>
                <w:vertAlign w:val="superscript"/>
                <w:rtl w:val="0"/>
              </w:rPr>
              <w:t xml:space="preserve">2</w:t>
            </w:r>
            <w:r w:rsidR="00000000" w:rsidRPr="00000000" w:rsidDel="00000000">
              <w:rPr>
                <w:rtl w:val="0"/>
              </w:rPr>
              <w:t xml:space="preserve"> panta pirmajā daļā minētajai atļaujai, kā arī kāds ir šī dokumenta saturs, izsniegšanas kārtība u.tml. Norādām,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 pantā ietvertā likuma 113.</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daļas redakciju, nepieciešamības gadījumā aizstājot vārdus "minētās darbības var tikt atļautas tikai ar Aizsardzības ministrijas saskaņojumu un" ar vārdiem "minētā atļauja var tikt izsniegta".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2</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 atļauja var tikt izsniegta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3</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Atsevišķos gadījumos, pēc savstarpējās vienošanās starp Aizsardzības ministriju un fizisko vai juridisko personu, militārās aviācijas poligona darbības drošībai potenciāli bīstamus objektus būvēšana, ierīkošana un izvietošana var tikt atļauta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113.</w:t>
            </w:r>
            <w:r w:rsidR="00000000" w:rsidRPr="00000000" w:rsidDel="00000000">
              <w:rPr>
                <w:vertAlign w:val="superscript"/>
                <w:rtl w:val="0"/>
              </w:rPr>
              <w:t xml:space="preserve">3</w:t>
            </w:r>
            <w:r w:rsidR="00000000" w:rsidRPr="00000000" w:rsidDel="00000000">
              <w:rPr>
                <w:rtl w:val="0"/>
              </w:rPr>
              <w:t xml:space="preserve">panta sestās daļas redakcija precizējama svītrojot vārdus “atsevišķos gadījumos”, kas var radīt neskaidrības normu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Militārās aviācijas poligona darbības drošībai potenciāli bīstamu objektu būvniecība, ierīkošana un izvietošana ir atļauta, ja starp Aizsardzības ministriju un fizisko vai juridisko personu panākta Ministru kabineta noteiktā kārtībā noslēgta rakstveida vienošanās par Aizsardzības ministrijai atlīdzināmajiem (kompensējamiem) izdevumiem, kas nepieciešami, lai nodrošinātu netraucētu militārā lidlauka drošu darbību. Kompensācijas veidu un atlīdzināšanas kārtību, atbilstoši rakstveida vienošanās noteiktajam, nosaka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institūciju paustos iebildumus un priekšlikumus, precizēta likumprojekta redakcija, papildinot 113.</w:t>
            </w:r>
            <w:r w:rsidR="00000000" w:rsidRPr="00000000" w:rsidDel="00000000">
              <w:rPr>
                <w:vertAlign w:val="superscript"/>
                <w:rtl w:val="0"/>
              </w:rPr>
              <w:t xml:space="preserve">3</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minētās darbības var tikt atļautas tikai ar Aizsardzības ministrijas saskaņojumu un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3</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 atļauja var tikt izsniegta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3</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Atsevišķos gadījumos, pēc savstarpējās vienošanās starp Aizsardzības ministriju un fizisko vai juridisko personu, militārās aviācijas poligona darbības drošībai potenciāli bīstamus objektus būvēšana, ierīkošana un izvietošana var tikt atļauta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pirmā daļa noteic, ka valsts pārvalde ir pakļauta likumam un tiesībām. Tā darbojas normatīvajos aktos noteiktās kompetences ietvaros. Valsts pārvalde savas pilnvaras  var izmantot tikai atbilstoši pilnvarojuma jēgai un mērķim. Vēršam uzmanību, ka likumprojekta 2. pantā ietvertā vārdkopa "atsevišķos gadījumos" ir pārāk abstrakta. Norādām, ka no likumprojekta 2. panta pirmā teikuma redakcijas nav viennozīmīgi secināms, kādos gadījumos likumprojekta 2. pantā minētā Aizsardzības ministrijas un fiziskās vai juridiskās personas savstarpējā vienošanās ir pieļaujama. Norādām,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(sk. Valsts kanceleja. Normatīvo aktu projektu izstrādes rokasgrāmata, 2016. 17.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2. pantu, nodrošinot skaidru un nepārprotamu tajā ietvertās tiesību normas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institūciju paustos iebildumus un priekšlikumus, precizēta likumprojekta redakcija, papildinot 113.</w:t>
            </w:r>
            <w:r w:rsidR="00000000" w:rsidRPr="00000000" w:rsidDel="00000000">
              <w:rPr>
                <w:vertAlign w:val="superscript"/>
                <w:rtl w:val="0"/>
              </w:rPr>
              <w:t xml:space="preserve">3</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minētās darbības var tikt atļautas tikai ar Aizsardzības ministrijas saskaņojumu un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3</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 atļauja var tikt izsniegta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3</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Atsevišķos gadījumos, pēc savstarpējās vienošanās starp Aizsardzības ministriju un fizisko vai juridisko personu, militārās aviācijas poligona darbības drošībai potenciāli bīstamus objektus būvēšana, ierīkošana un izvietošana var tikt atļauta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noteic, ka zaudējumi, kas nodarīti, būvējot, ierīkojot un izvietojot militārās aviācijas poligona darbības drošībai potenciāli bīstamus objektus, tiek atlīdzināti Aizsardzības ministrijai. Vēršam uzmanību, ka kompensāciju būtu jāsaņem iestādei, kura ir militārā lidlauka valdītājs, tādējādi nodrošinot iespēju veikt nepieciešamos pasākumus militārā lidlauka drošas darbības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rosinām precizēt likumprojekta 2. pantu, nosakot, ka izdevumi, kas nepieciešami, lai nodrošinātu netraucētu militārā lidlauka drošu darbību, tiek atlīdzināti attiecīgā valsts aizsardzības objekta valdītājam, vai papildināt likumprojekta anotāciju ar pamatojumu par Aizsardzības ministrijas tiesībām uz likumprojekta 2. pantā minēto kompensāciju.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 ar norādi, ka savstarpējā vienošanās par izdevumu atlīdzināšanu tiek slēgta starp projekta iesniedzēju un Aizsardzības ministriju kā konkrēto aizsardzības objektu 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 norma izdevumus atlīdzināt Aizsardzības ministrijai ir paredzēta ar nolūku, ņemot vērā, ka nepieciešamie kompensācijas pasākumi vairākos gadījumos var pārsniegt viena konkrētā aizsardzības objekta robežas. Tāpat noteiktos gadījumos var nākties lemt par jauna aizsardzības objekta izveidi vai arī ievērojami paplašināt konkrētā aizsardzības objekta mērogus vai funkcijas, turklāt šādam lēmumam par vienošanos ir ietekme uz valsts aizsardzības sistēmu plašākā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3</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 atļauja var tikt izsniegta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3</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minētās darbības var tikt atļautas tikai ar Aizsardzības ministrijas saskaņojumu un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iecerētajai likuma "Par aviāciju" (turpmāk – likums) 113.</w:t>
            </w:r>
            <w:r w:rsidR="00000000" w:rsidRPr="00000000" w:rsidDel="00000000">
              <w:rPr>
                <w:vertAlign w:val="superscript"/>
                <w:rtl w:val="0"/>
              </w:rPr>
              <w:t xml:space="preserve">3</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daļai papildus likuma 113.</w:t>
            </w:r>
            <w:r w:rsidR="00000000" w:rsidRPr="00000000" w:rsidDel="00000000">
              <w:rPr>
                <w:vertAlign w:val="superscript"/>
                <w:rtl w:val="0"/>
              </w:rPr>
              <w:t xml:space="preserve">3</w:t>
            </w:r>
            <w:r w:rsidR="00000000" w:rsidRPr="00000000" w:rsidDel="00000000">
              <w:rPr>
                <w:rtl w:val="0"/>
              </w:rPr>
              <w:t xml:space="preserve"> panta pirmajā daļā minētajai atļaujai nepieciešams saņemt Aizsardzības ministrijas saskaņojumu. Tādējādi no likumprojekta 2. pantā ietvertās likuma 113.</w:t>
            </w:r>
            <w:r w:rsidR="00000000" w:rsidRPr="00000000" w:rsidDel="00000000">
              <w:rPr>
                <w:vertAlign w:val="superscript"/>
                <w:rtl w:val="0"/>
              </w:rPr>
              <w:t xml:space="preserve">3</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daļas redakcijas nav viennozīmīgi saprotams, vai Aizsardzības ministrija izsniedz vēl kādu dokumentu papildus likuma 113.</w:t>
            </w:r>
            <w:r w:rsidR="00000000" w:rsidRPr="00000000" w:rsidDel="00000000">
              <w:rPr>
                <w:vertAlign w:val="superscript"/>
                <w:rtl w:val="0"/>
              </w:rPr>
              <w:t xml:space="preserve">3</w:t>
            </w:r>
            <w:r w:rsidR="00000000" w:rsidRPr="00000000" w:rsidDel="00000000">
              <w:rPr>
                <w:rtl w:val="0"/>
              </w:rPr>
              <w:t xml:space="preserve"> panta pirmajā daļā minētajai atļaujai, kā arī kāds ir šī dokumenta saturs, izsniegšanas kārtība u.tml. Norādām,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2. pantā ietvertā likuma 113.</w:t>
            </w:r>
            <w:r w:rsidR="00000000" w:rsidRPr="00000000" w:rsidDel="00000000">
              <w:rPr>
                <w:vertAlign w:val="superscript"/>
                <w:rtl w:val="0"/>
              </w:rPr>
              <w:t xml:space="preserve">3</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daļas redakciju, nepieciešamības gadījumā aizstājot vārdus "minētās darbības var tikt atļautas tikai ar Aizsardzības ministrijas saskaņojumu un" ar vārdiem "minētā atļauja var tikt izsniegta".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3</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 atļauja var tikt izsniegta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- 30.12.2021.)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problēmas un risinājumi” minēts, ka projektu izvērtēšanas kārtība tiek veikta atbilstoši Aizsardzības ministrijas iekšējos noteikumos noteiktajam. Tādējādi iespēju robežās tiek novērsta iespējama interešu konflikta rašanās, korupcijas riski un nodrošināta procesa pārskatāmība.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funkcijas “projektu izvērtēšana” un “atļaujas izsniegšana” ir pakļautas augstam korupcijas un interešu konflikta riskam, jo izvērtējot iesniegtos projektus un pieņemot lēmumu atļaut (ar vai bez nosacījuma, ka tiek veikti noteikti kompensējošie pasākumi) vai aizliegt būvniecības projekta īstenošanu, Aizsardzības ministrijas amatpersonas pienākumi ir saistīti ar lēmuma pieņemšanu attiecībā uz fizisku vai juridisku personu, kā arī paredz rīcību ar informāciju, kurai ir noteikts ierobežotas 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papildināt anotācijas tekstu, iekļaujot informāciju par Aizsardzības ministrijas izstrādātajiem pasākumiem, kurus ieviešot, tiks novērsts korupcijas un interešu konflikta risks būvniecības projektu izvērtēšanas un lēmuma pieņemšanas procesā, piemēram, vai pirms iesniegto projektu izvērtēšanas amatpersona rakstiski apliecinās, ka neatrodas interešu konflikta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ar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 vienošanās tiek panākta sarunu vai rakstiskā procedūrā starp Aizsardzības ministriju un projekta pieteikuma iesniedzēju vai pārstāvi, kas tiek fiksēta (protokolētas gan sanāksmes, gan sarakste), lai nodrošinātu iespēju izvērtēt pieņemtā lēmuma atbilstību, ja rodas šāda nepieciešamība (piemēram, pušu strīdu gadījumā vai audita vajadzībām). Attiecīgā projektu izvērtēšana tiek veikta atbilstoši Aizsardzības ministrijas iekšējos noteikumos noteiktajai kārtībai, tādējādi iespēju robežās tiek novērsta iespējama interešu konflikta rašanās, korupcijas riski un nodrošināta procesa pārskatāmība. Būvniecības projektu izvērtēšanas un lēmuma pieņemšanas procesā iesniegtos dokumentus un plānoto būvniecības ieceri izvērtē vairāku aizsardzības resora iestādes (Aizsardzības ministrijas, Valsts aizsardzības militāro objektu un iepirkumu centra, Nacionālo bruņoto spēku), sniedzot atzinumu par plānotās būvniecības projekta aizsargjoslā ap valsts aizsardzības objekta ietekmi uz aizsardzības objekta operacionālajām spējām un, ja nepieciešams izvērtējot potenciālu kompensācijas mehānisma ieviešanas iespējamību. Pēc minēto atzinumu saņemšanas Aizsardzības ministrijas darba grupa, kurā ir noteikti locekļi (amatpersonas), izvērtē un pieņem lēmumu par konkrētā būvniecības projekta saskaņošanu. Atbilstoši likumprojektā piedāvātajam mehānismam, darba grupa var lemt par atļauju vai pamatotu atteikumu konkrētā būvniecības projekta īstenošanai, vai arī atļauju, pie nosacījuma, ka tiek veiktas noteiktas kompensējošās darbības, kas novērstu paredzētā būvniecības projekta negatīvo ietekmi uz valsts aizsardzības objekta darbību un operacionālajām spējām. Ņemot vērā, ka šāds lēmums tiek pieņemts darba grupas ietvaros, tiek novērsta vienpersonīga lēmuma pieņemšana un samazināti korupcijas un interešu konflikta riski. Atbilstoši likumprojektā paredzētajām izmaiņām, ar šī likuma stāšanos spēkā tiks veikti grozījumi minētajos Aizsardzības ministrijas iekšējos noteikumos. Tāpat aizsardzības ministrijas iekšējos noteikumos tiks paredzēts, ka pirms iesniegto projektu izvērtēšanas amatpersonas rakstiski apliecinās, ka neatrodas interešu konflikta situācijā. Vienlaikus, ņemot vērā noteikto projektu sensitivitāti un nepieciešamību nodrošināt projekta iesniedzēja komercinformācijas konfidencialitātes ievērošanu, šai informācijai tiek noteikts ierobežotas 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Savstarpējā vienošanās par izdevumu atlīdzināšanu tiek slēgta starp projekta iesniedzēju (fiziska vai juridiska persona) un Aizsardzības ministriju kā konkrēto aizsardzības objektu tiesisko valdītāju."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69. panta otrais teikums noteic, ka likums stājas spēkā četrpadsmit dienas pēc izsludināšanas, ja likumā nav noteikts cits termiņš. Ministru kabineta 2009. gada 3. februāra noteikumu Nr. 108 "Normatīvo aktu projektu sagatavošanas noteikumi" 30. punkts noteic, ka, ja nepieciešams, likumprojekta beigās aiz pārejas noteikumiem, bet, ja likumprojekts satur informatīvu atsauci uz Eiropas Savienības direktīvām, aiz minētās atsauces raksta noteikumus par likuma spēkā stāšanās laiku. Noteikumos par likuma spēkā stāšanās laiku secīgi raksta vārdus "likums stājas spēkā" un likuma spēkā stāšanās datumu attiecīgā locījumā vai citu spēkā stāšanās nosacījumu. Vēršam uzmanību, ka likumprojektā nav norādīts likumprojekta stāšanās datums vai cits spēkā stāšanās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1.2. punkta sadaļā "Spēkā stāšanās termiņš" norādīto atbilstoši likumprojektā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nosakot, ka likums stājas spēkā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precizē kārtību, kādā īstenojama militārā lidlauka un militārās aviācijas poligona darbības drošībai potenciāli bīstamu objektu būvēšana, ierīkošana un izvietošana. Ministru kabineta 2006. gada 27. jūnija noteikumu Nr. 508 "Noteikumi par aizsargjoslām ap valsts aizsardzības objektiem un šo aizsargjoslu platumu" 2. punktā norādīti kopumā 49 valsts aizsardzības objekti, taču likumprojekts attiecas vienīgi uz dažiem no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anotācijas 2.1. apakšpunktā norādīto likumprojekta ietekmi uz fiziskām un juridiskām personām, kā arī 2.2. apakšpunktā norādīto  likumprojekta ietekmi uz nozaru konkurētspēju un uzņēmējdarbības vidi atbilstoši likumprojekta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saistīts un tiek virzīts vienlaikus ar grozījumiem Aizsargjoslu likumā, līdz ar to attiecinot likumprojektā piedāvāto izdevumu atlīdzināšanas kārtību uz visiem valsts aizsardzības objektiem (ne tikai uz militārajiem lidlaukiem vai militārās aviācijas poligoniem).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jau šobrīd aprakstīta grozījumu ietekme uz uzņēmējdarbības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aviāciju"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1.2.apakšsadaļā norādīts, ka likumprojekts stāsies spēkā nākamajā dienā pēc izsludināšanas, savukārt likumprojektā tas nav noteikts.  Saskaņā ar Latvijas Republikas Satversmes 69.pantu likums stājas spēkā 14 dienas pēc izsludināšanas, ja likumā nav noteikts cits termiņš. Tādējādi lūdzam atbilstoši papildināt likumprojektu vai arī precizēt anotācijas 1.2.apakšsadaļu.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nosakot, ka likums stājas spēkā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aviāciju"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aviāciju"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likuma "Par aviāciju" 6.panta ceturto daļu pēc vārdiem ”kas atrodas Latvijas Republikas teritorijā” ar vārdiem “un militārās aviācijas lidlaukos vai to daļās, kuras tiek izmantotas civilās aviācijas gaisa kuģu lidojumiem.”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papildināt likumprojekta anotāciju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aviācijas lidlauks ir valsts aizsardzības objekts, kurā civilpersonām nav piekļuves tiesības. Savukārt militāra lidlauka operators var pieņemt lēmumu par šāda lidlauka izmantošanu arī civilās aviācijas vajadzībām. Šādā gadījumā ir veicams militārās aviācijas lidlauka atbilstības novērtējums un, ja tā ekspluatants ir pierādījis, ka tas atbilst civilās aviācijas gaisa kuģu ekspluatācijas nosacījumiem, tad to var publiski piedāvāt izmantošanai civilās aviācijas gaisa kuģu lidojumiem. Attiecīgi valsts pārvaldes institūciju amatpersonām, kuras veic civilās aviācijas darbības uzraudzību, kā arī sakarā ar civilās aviācijas nelaimes gadījumu veic tā izmeklēšanu, viņu dienesta pienākumu pildīšanai ir jānodrošina brīva piekļuve militārās aviācijas lidlaukam vai tā daļai, kuru izmanto civilās aviācijas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Aviācijas departamenta, Civilās aviācijas aģentūras un Transporta nelaimes gadījumu un incidentu izmeklēšanas biroja darbiniekam, pildot dienesta pienākumus, ir tiesības netraucēti iekļūt visos civilās aviācijas objektos, kas atrodas Latvijas Republikas teritorijā un militārās aviācijas lidlaukos vai to daļās, kuras tiek izmantotas civilās aviācijas gaisa kuģu lidojumiem.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aviāciju"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aviāciju” (Latvijas Republikas Saeimas un Ministru Kabineta Ziņotājs, 1994, 22. nr.; 1997, 13., 23. nr.; 1998, 15., 23. nr.; 1999, 23. nr.; 2002, 12. nr.; 2003, 15. nr.; 2004, 7., 10., 20. nr.; 2005, 10., 15. nr.; 2006, 1., 12., 24. nr.; 2007, 10., 14. nr.; 2008, 9. nr.; 2009, 6., 17. nr.; Latvijas Vēstnesis, 2009, 196. nr.; 2010, 166. nr.; 2011, 99. nr.; 2013, 69. nr.; 2014, 70., 204. nr.; 2016, 123. nr.; 2017, 242. nr.; 2018, 210. nr.; 2019, 132., 235.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norādi uz likuma "Par aviāciju" un tā grozījumu publikācijām laikrakstā "Latvijas Vēstnesis" ("Latvijas Republikas Saeimas un Ministru kabineta Ziņotājs"), norādot visas likuma "Par aviāciju" grozījumu publikācijas atbilstoši Ministru kabineta 2009. gada 3. februāra noteikumu Nr. 108 "Normatīvo aktu projektu sagatavošanas noteikumi" 68.3.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uz likuma "Par aviāciju" un tā grozījumu publikācijām laikrakstā "Latvijas Vēstnesis" ("Latvijas Republikas Saeimas un Ministru kabineta Ziņotājs") likumprojektā ir ģenerēta automātiski no TAP sistēmas. Ja to ir nepieciešams precizēt, lūgums TM konkrēti norādīt, kas būtu precizējams.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aviāciju” (Latvijas Republikas Saeimas un Ministru Kabineta Ziņotājs, 1994, 22. nr.; 1997, 13., 23. nr.; 1998, 15., 23. nr.; 1999, 23. nr.; 2002, 12. nr.; 2003, 15. nr.; 2004, 7., 10., 20. nr.; 2005, 10., 15. nr.; 2006, 1., 12., 24. nr.; 2007, 10., 14. nr.; 2008, 9. nr.; 2009, 6., 17. nr.; Latvijas Vēstnesis, 2009, 196. nr.; 2010, 166. nr.; 2011, 99. nr.; 2013, 69. nr.; 2014, 70., 204. nr.; 2016, 123. nr.; 2017, 242. nr.; 2018, 210. nr.; 2019, 132., 235.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2</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Atsevišķos gadījumos, pēc savstarpējās vienošanās starp Aizsardzības ministriju un fizisko vai juridisko personu, militārā lidlauka darbības drošībai potenciāli bīstamus objektus būvēšana, ierīkošana un izvietošana var tikt atļauta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2.2. apakšpunktam normatīvā akta projektu raksta, ievērojot valsts valodas literārās un gramatiskās normas,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redakcionāli precizēt likumprojekta 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institūciju paustos iebildumus un priekšlikumus, precizēta likumprojekta redakcija, papildinot 113.</w:t>
            </w:r>
            <w:r w:rsidR="00000000" w:rsidRPr="00000000" w:rsidDel="00000000">
              <w:rPr>
                <w:vertAlign w:val="superscript"/>
                <w:rtl w:val="0"/>
              </w:rPr>
              <w:t xml:space="preserve">2</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minētās darbības var tikt atļautas tikai ar Aizsardzības ministrijas saskaņojumu un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2</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 atļauja var tikt izsniegta pie nosacījuma, ka Aizsardzības ministrijai tiek atlīdzināti (kompensēti) izdevumi, kas nepieciešami, lai nodrošinātu netraucētu militārā lidlauka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3</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Atsevišķos gadījumos, pēc savstarpējās vienošanās starp Aizsardzības ministriju un fizisko vai juridisko personu, militārās aviācijas poligona darbības drošībai potenciāli bīstamus objektus būvēšana, ierīkošana un izvietošana var tikt atļauta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2.2. apakšpunktam normatīvā akta projektu raksta, ievērojot valsts valodas literārās un gramatiskās normas,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redakcionāli precizēt likumprojekta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institūciju paustos iebildumus un priekšlikumus, precizēta likumprojekta redakcija, papildinot 113.</w:t>
            </w:r>
            <w:r w:rsidR="00000000" w:rsidRPr="00000000" w:rsidDel="00000000">
              <w:rPr>
                <w:vertAlign w:val="superscript"/>
                <w:rtl w:val="0"/>
              </w:rPr>
              <w:t xml:space="preserve">3</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minētās darbības var tikt atļautas tikai ar Aizsardzības ministrijas saskaņojumu un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113.</w:t>
            </w:r>
            <w:r w:rsidR="00000000" w:rsidRPr="00000000" w:rsidDel="00000000">
              <w:rPr>
                <w:vertAlign w:val="superscript"/>
                <w:rtl w:val="0"/>
              </w:rPr>
              <w:t xml:space="preserve">3</w:t>
            </w:r>
            <w:r w:rsidR="00000000" w:rsidRPr="00000000" w:rsidDel="00000000">
              <w:rPr>
                <w:rtl w:val="0"/>
              </w:rPr>
              <w:t xml:space="preserve">  pantu ar pirmo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minētā atļauja var tikt izsniegta pie nosacījuma, ka Aizsardzības ministrijai tiek atlīdzināti (kompensēti) izdevumi, kas nepieciešami,  lai nodrošinātu netraucētu militārās aviācijas poligona drošu darbību. Izdevumu apmēru nosaka un izdevumus atlīdzina pēc savstarpējas rakstveida vienošanās, nosakot kompensācijas veidu un kārtību. Izvērtējot kompensējošā mehānisma izveidošanas iespējas, izvēlas tehniski atbilstošāko un pēc iespējas ekonomiski izdevīgāko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71. punktam grozījumu likumprojekta normas raksta atbilstoši grozāmo vienību secībai likumā, kurā izdara grozījumus. Ievērojot minēto, lūdzam sākotnēji likumprojektā norādīt grozījumus par likuma "Par aviāciju" 6. panta ceturtās daļas izteikšanu jaunā redakcijā un pēc tam secīgi grozījumus par likuma "Par aviāciju" papildināšanu ar 113.</w:t>
            </w:r>
            <w:r w:rsidR="00000000" w:rsidRPr="00000000" w:rsidDel="00000000">
              <w:rPr>
                <w:vertAlign w:val="superscript"/>
                <w:rtl w:val="0"/>
              </w:rPr>
              <w:t xml:space="preserve">2</w:t>
            </w:r>
            <w:r w:rsidR="00000000" w:rsidRPr="00000000" w:rsidDel="00000000">
              <w:rPr>
                <w:rtl w:val="0"/>
              </w:rPr>
              <w:t xml:space="preserve">, 113.</w:t>
            </w:r>
            <w:r w:rsidR="00000000" w:rsidRPr="00000000" w:rsidDel="00000000">
              <w:rPr>
                <w:vertAlign w:val="superscript"/>
                <w:rtl w:val="0"/>
              </w:rPr>
              <w:t xml:space="preserve">3</w:t>
            </w:r>
            <w:r w:rsidR="00000000" w:rsidRPr="00000000" w:rsidDel="00000000">
              <w:rPr>
                <w:rtl w:val="0"/>
              </w:rPr>
              <w:t xml:space="preserve"> un 113.</w:t>
            </w:r>
            <w:r w:rsidR="00000000" w:rsidRPr="00000000" w:rsidDel="00000000">
              <w:rPr>
                <w:vertAlign w:val="superscript"/>
                <w:rtl w:val="0"/>
              </w:rPr>
              <w:t xml:space="preserve">4</w:t>
            </w:r>
            <w:r w:rsidR="00000000" w:rsidRPr="00000000" w:rsidDel="00000000">
              <w:rPr>
                <w:rtl w:val="0"/>
              </w:rPr>
              <w:t xml:space="preserve">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tiek paredzēts, ka iespējamā projekta būvniecība aizsargjoslā ap militārajiem lidlaukiem vai militārās aviācijas poligoniem tiek vērtēta, balstoties uz anotācijā uzskaitītajiem principiem un kritējiem. Ņemot vērā, ka minētie principi un kritēriji ir noteikti likumprojekta anotācijā, kas nav juridiski saistoša, lūdzam izvērtēt šo principu un kritēriju noteikšanu normatīvajā aktā (likumprojektā vai Ministru kabineta noteikumu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anotācijā norādītajam, paredzēts, ka anotācijā uzskaitītie principi un kritēriji potenciālo būvniecības projektu izvērtēšanā tiek vērtēti saskaņā ar Aizsardzības ministrijas izstrādātajiem iekšējiem noteikumiem. Atbilstoši anotācijā norādītajam katra šāda projekta izvērtēšana ir individuāla un balstās uz visaptverošu un detalizētu tehnisko izvērtējumu, lai spētu nodrošināt gaisa telpas novērošanai  (pārklājumam) izvirzītās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2015. gada 29. septembra noteikumi Nr. 542 "Kārtība, kādā pieprasa un saņem Aizsardzības ministrijas atļauju būvēt, ierīkot un izvietot konkrētu militāro lidlauku un militārās aviācijas poligonu darbības drošībai potenciāli bīstamus objektus un veic to uzskaiti" jau šobrīd nosaka kārtību, kādā iespējams pieprasīt un saņemt Aizsardzības ministrijas atļauju būvēt, ierīkot un izvietot konkrētu militāro lidlauku un militārās aviācijas poligonu darbības drošībai potenciāli bīstamus objektus.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21-TA-1339</w:t>
    </w:r>
    <w:r>
      <w:br/>
    </w:r>
    <w:r w:rsidR="00000000" w:rsidRPr="00000000" w:rsidDel="00000000">
      <w:rPr>
        <w:rtl w:val="0"/>
      </w:rPr>
      <w:t xml:space="preserve">27.04.2022. 12.14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21-TA-1339</w:t>
    </w:r>
    <w:r>
      <w:br/>
    </w:r>
    <w:r w:rsidR="00000000" w:rsidRPr="00000000" w:rsidDel="00000000">
      <w:rPr>
        <w:rtl w:val="0"/>
      </w:rPr>
      <w:t xml:space="preserve">27.04.2022. 12.14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Izziņa_21-TA-1339.docx</dc:title>
</cp:coreProperties>
</file>

<file path=docProps/custom.xml><?xml version="1.0" encoding="utf-8"?>
<Properties xmlns="http://schemas.openxmlformats.org/officeDocument/2006/custom-properties" xmlns:vt="http://schemas.openxmlformats.org/officeDocument/2006/docPropsVTypes"/>
</file>