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24-TA-1021: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Padziļinātas partnerības un sadarbības nolīgumu starp Eiropas Savienību un tās dalībvalstīm, no vienas puses, un Kirgīzu Republiku, no otras puses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nedaudz izvērst anotācijas 1.3. apakšsadaļas risinājuma apraksta skaidrojumus, ņemot vērā, ka tiek norādīts uz to, ka "nolīgums ir jauktais starptautiskais nolīgums, kurš satur gan ES, gan dalībvalstu kompetencē esošos jautājumus, ir nepieciešama šī nolīguma apstiprināšana visās dalībvalstīs saskaņā ar to nacionālajām procedūrām, kā arī ES līmenī". Proti, iesakām izvērstāk norādīt uz Latvijas, kā Eiropas Savienības dalībvalsts, kompetencēm konkrētā nolīguma ietvaros. Tādā veidā nodrošinot pilnīgu izpratni par no nolīguma izrietošajām starptautiskajām saistībām, jo pašreizējais skaidrojums sniedz vispārēju skaidrojumu, neliekot konkrētu uzsvaru uz Latvijas kompetencēm.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nolīguma iespējamo ietekmi uz sabiedrību un tautsaimniecību. Vēršam uzmanību, ka no anotācijas 1.3. apakšsadaļas skaidrojuma par to, ka "</w:t>
            </w:r>
            <w:r w:rsidR="00000000" w:rsidRPr="00000000" w:rsidDel="00000000">
              <w:rPr>
                <w:i w:val="1"/>
                <w:rtl w:val="0"/>
              </w:rPr>
              <w:t xml:space="preserve">nolīgums modernizēs esošo Partnerības un sadarbības nolīgumu, paplašinot tā darbības jomas, iekļaujot jaunas sadarbības jomas un ievērojami uzlabojot savstarpējo tirdzniecības un ekonomisko attiecību tiesisko regulējumu saskaņā ar Pasaules tirdzniecības organizācijas noteikumiem</w:t>
            </w:r>
            <w:r w:rsidR="00000000" w:rsidRPr="00000000" w:rsidDel="00000000">
              <w:rPr>
                <w:rtl w:val="0"/>
              </w:rPr>
              <w:t xml:space="preserve">" vai "</w:t>
            </w:r>
            <w:r w:rsidR="00000000" w:rsidRPr="00000000" w:rsidDel="00000000">
              <w:rPr>
                <w:i w:val="1"/>
                <w:rtl w:val="0"/>
              </w:rPr>
              <w:t xml:space="preserve">Paredzams, ka nolīguma tirdzniecības daļa nodrošinās labāku normatīvo vidi uzņēmējiem Kirgīzu Republikā un tādējādi dos ekonomisku labumu ES uzņēmumiem sadarbībai ar šo partnervalsti</w:t>
            </w:r>
            <w:r w:rsidR="00000000" w:rsidRPr="00000000" w:rsidDel="00000000">
              <w:rPr>
                <w:rtl w:val="0"/>
              </w:rPr>
              <w:t xml:space="preserve">", secināms, ka tas var ietekmēt kaut kāds sabiedrības grupas un/vai tautsaimniecību. Attiecīgi iesakām izvērtēt un, nepieciešamības gadījumā, papildināt anotācijas 2. daļu, nodrošinot pilnīgu izpratni par likumprojekta un nolīguma iespējamo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likumprojekta anotācijas 5. sadaļā vai 1.3. sadaļā skaidrot ar līguma projektu uzņemtās saistības, norādot šo saistību būtību un skaidrojot konkrētus veicamos pasākumus vai uzdevumus, kas nepieciešami šo saistību izpildei. Skaidrojam, ka anotācijā ietvertajai informācijai ir jāsniedz priekšstats par to, kādas konkrēti saistības Latvija ar attiecīgo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lūdzam ņemt vērā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24-TA-1021</w:t>
    </w:r>
    <w:r>
      <w:br/>
    </w:r>
    <w:r w:rsidR="00000000" w:rsidRPr="00000000" w:rsidDel="00000000">
      <w:rPr>
        <w:rtl w:val="0"/>
      </w:rPr>
      <w:t xml:space="preserve">19.11.2024. 15.44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24-TA-1021</w:t>
    </w:r>
    <w:r>
      <w:br/>
    </w:r>
    <w:r w:rsidR="00000000" w:rsidRPr="00000000" w:rsidDel="00000000">
      <w:rPr>
        <w:rtl w:val="0"/>
      </w:rPr>
      <w:t xml:space="preserve">19.11.2024. 15.44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Izziņa_24-TA-1021.docx</dc:title>
</cp:coreProperties>
</file>

<file path=docProps/custom.xml><?xml version="1.0" encoding="utf-8"?>
<Properties xmlns="http://schemas.openxmlformats.org/officeDocument/2006/custom-properties" xmlns:vt="http://schemas.openxmlformats.org/officeDocument/2006/docPropsVTypes"/>
</file>