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2009. gada 27. oktobra noteikumos Nr. 1250 "Noteikumi par valsts nodevu par īpašuma tiesību un ķīlas tiesību nostiprināšanu zemesgrāmatā"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(04.02.2023.)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norādīts, ka,</w:t>
            </w:r>
            <w:r w:rsidR="00000000" w:rsidRPr="00000000" w:rsidDel="00000000">
              <w:rPr>
                <w:i w:val="1"/>
                <w:rtl w:val="0"/>
              </w:rPr>
              <w:t xml:space="preserve"> ņemot vērā nepieciešamību nodrošināt ekonomisko un sociālo aizsardzību un atbalstu arī mantojuma atstājēja partnerim, testamentārajiem vai līgumiskajiem mantiniekiem, kas normatīvajos aktos noteiktā kārtībā ir tikuši </w:t>
            </w:r>
            <w:r w:rsidR="00000000" w:rsidRPr="00000000" w:rsidDel="00000000">
              <w:rPr>
                <w:i w:val="1"/>
                <w:u w:val="single"/>
                <w:rtl w:val="0"/>
              </w:rPr>
              <w:t xml:space="preserve">atzīti par mantojuma atstājēja partneri</w:t>
            </w:r>
            <w:r w:rsidR="00000000" w:rsidRPr="00000000" w:rsidDel="00000000">
              <w:rPr>
                <w:i w:val="1"/>
                <w:rtl w:val="0"/>
              </w:rPr>
              <w:t xml:space="preserve">, nosakāma samazināta </w:t>
            </w:r>
            <w:r w:rsidR="00000000" w:rsidRPr="00000000" w:rsidDel="00000000">
              <w:rPr>
                <w:i w:val="1"/>
                <w:u w:val="single"/>
                <w:rtl w:val="0"/>
              </w:rPr>
              <w:t xml:space="preserve">valsts nodeva 1,5% apmērā</w:t>
            </w:r>
            <w:r w:rsidR="00000000" w:rsidRPr="00000000" w:rsidDel="00000000">
              <w:rPr>
                <w:i w:val="1"/>
                <w:rtl w:val="0"/>
              </w:rPr>
              <w:t xml:space="preserve"> no mantotā nekustamā īpašuma vērtības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Ministru kabineta 2009. gada 27. oktobra noteikumu Nr. 1250 "Noteikumi par valsts nodevu par īpašuma tiesību un ķīlas tiesību nostiprināšanu zemesgrāmatā" (turpmāk – MK noteikumi Nr. 1250) 13.1.1. un 13.2.1. apakšpunktu, valsts nodeva par nekustamā īpašuma tiesību nostiprināšanu mantiniekiem uz notāra izsniegtas mantojuma apliecības pamata, lietās par apstiprināšanu mantojuma tiesībās – laulātajam un kopā ar mantojuma atstājēju dzīvojušajiem pirmās, otrās un trešās šķiras mantiniekiem ir 0,25 %, un lietās par pēdējās gribas rīkojuma akta vai mantojuma līguma stāšanos likumīgā spēkā – </w:t>
            </w:r>
            <w:r w:rsidR="00000000" w:rsidRPr="00000000" w:rsidDel="00000000">
              <w:rPr>
                <w:u w:val="single"/>
                <w:rtl w:val="0"/>
              </w:rPr>
              <w:t xml:space="preserve">laulātajam</w:t>
            </w:r>
            <w:r w:rsidR="00000000" w:rsidRPr="00000000" w:rsidDel="00000000">
              <w:rPr>
                <w:rtl w:val="0"/>
              </w:rPr>
              <w:t xml:space="preserve"> un pirmās, otrās un trešās šķiras mantiniekiem – </w:t>
            </w:r>
            <w:r w:rsidR="00000000" w:rsidRPr="00000000" w:rsidDel="00000000">
              <w:rPr>
                <w:u w:val="single"/>
                <w:rtl w:val="0"/>
              </w:rPr>
              <w:t xml:space="preserve">0,125 %</w:t>
            </w:r>
            <w:r w:rsidR="00000000" w:rsidRPr="00000000" w:rsidDel="00000000">
              <w:rPr>
                <w:rtl w:val="0"/>
              </w:rPr>
              <w:t xml:space="preserve"> no mantotā nekustamā īpašuma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2021. gada 8. aprīļa sprieduma lietā Nr. 2020-34-03, ar kuru atzina MK noteikumu Nr. 1250 13. punktu par neatbilstošu Latvijas Republikas Satversmei, 10.2. apakšpunktā un 15. punktā norādīja, ka atbilstoši vispārējiem tiesību principiem likumdevēja pieņemtais </w:t>
            </w:r>
            <w:r w:rsidR="00000000" w:rsidRPr="00000000" w:rsidDel="00000000">
              <w:rPr>
                <w:u w:val="single"/>
                <w:rtl w:val="0"/>
              </w:rPr>
              <w:t xml:space="preserve">viendzimuma partneru ģimenes attiecību tiesiskais regulējums un sociālās un ekonomiskās aizsardzības un atbalsta tiesiskais regulējums nedrīkst bez racionāla pamata nostādīt šīs ģimenes nelabvēlīgākā stāvoklī salīdzinājumā ar dažādu dzimumu partneru ģimenēm</w:t>
            </w:r>
            <w:r w:rsidR="00000000" w:rsidRPr="00000000" w:rsidDel="00000000">
              <w:rPr>
                <w:rtl w:val="0"/>
              </w:rPr>
              <w:t xml:space="preserve">. Ministru kabinetam ir jāgādā, lai pēc viendzimuma partneru ģimenes attiecību tiesiskā regulējuma stāšanās spēkā Ministru kabineta noteikumos ietvertais ģimenes ekonomiskās un sociālās aizsardzības un atbalsta tiesiskais regulējums būtu saskanīgs ar jauno ģimenes attiecību tiesisko regulējumu, kā arī </w:t>
            </w:r>
            <w:r w:rsidR="00000000" w:rsidRPr="00000000" w:rsidDel="00000000">
              <w:rPr>
                <w:u w:val="single"/>
                <w:rtl w:val="0"/>
              </w:rPr>
              <w:t xml:space="preserve">atbilstošs vispārējiem tiesību principiem</w:t>
            </w:r>
            <w:r w:rsidR="00000000" w:rsidRPr="00000000" w:rsidDel="00000000">
              <w:rPr>
                <w:rtl w:val="0"/>
              </w:rPr>
              <w:t xml:space="preserve"> un citām Satversmes normām, starptautiskajām un Eiropas Savienības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paredz, lietās par pēdējās gribas rīkojuma akta vai mantojuma līguma stāšanos likumīgā spēkā – mantojuma atstājēja partnerim noteikt valsts nodevas likmi 1,5 %, savukārt laulātajam to saglabāt nemainīgu 0,125 % apmērā. Noteikumu projekta anotācija nesatur apsvērumus par to, kādēļ mantojuma atstājēja partnerim valsts nodevas likmi ir nepieciešams noteikt augstāku nekā mantojuma atstājēja laulātajam.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anotācijas 1.3. punktu ar skaidrojumu, kādēļ attiecībā uz mantojuma atstājēja partneru iesniegtajiem nekustamā īpašuma tiesību nostiprināšanas lūgumiem ir nepieciešams veidot atšķirīgu pakalpojuma saņemšanas regulāciju, salīdzinot ar mantojuma atstājēja laulāto nostiprināšanas lūgumiem.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priekšlikumam, noteikumu projekts precizēts, nosakot, ka lietās par pēdējās gribas rīkojuma akta vai mantojuma līguma stāšanos likumīgā spēkā mantojuma atstājēja partnerim valsts nodevas likme nosakāma 0,125% no mantotā nekustamā īpašuma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13.2.5. personai, par kuru mantojuma atstājējam Fizisko personu reģistrā ir iekļautas Fizisko personu reģistra likuma 11. panta pirmās daļas 36. punktā noteiktās ziņas – 0,125% no mantotā nekustamā īpašuma 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izziņā norādīto valsts nodevas likmes noteikšanas pamatojumu. Vēršam uzmanību, ka Finanšu ministrija savā 2024. gada 7. februāra priekšlikumā nav izteikusi lūgumu samazināt valsts nodevas likmi, bet lūdza sniegt anotācijā skaidrojumu atšķirīgas likmes noteikšanas nepieciešamībai. Ņemot vērā minēto, lūdzam attiecīgi precizēt izziņā ietverto pamatojumu, norādot, ka likme noteikta pēc Tieslietu ministrijas iniciatīvas, izvērtējot Finanšu ministrijas priekšlikumā ietvertos tiesiskos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Tieslietu ministrija secināja, ka ir pamats precizēt noteikumu projektu, nosakot, ka lietās par pēdējās gribas rīkojuma akta vai mantojuma līguma stāšanos likumīgā spēkā mantojuma atstājēja partnerim valsts nodevas likme nosakāma 0,125% no mantotā nekustamā īpašuma vērtības. Tādējādi valsts nodevas likme noteikumu projektā noteikta pēc Tieslietu ministrijas iniciatīvas, izvērtējot Finanšu ministrijas priekšlikumā ietvertos tiesiskos apsvērumus.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13.2.5. personai, par kuru mantojuma atstājējam Fizisko personu reģistrā ir iekļautas Fizisko personu reģistra likuma 11. panta pirmās daļas 36. punktā noteiktās ziņas – 0,125% no mantotā nekustamā īpašuma vērtības.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24-TA-197</w:t>
    </w:r>
    <w:r>
      <w:br/>
    </w:r>
    <w:r w:rsidR="00000000" w:rsidRPr="00000000" w:rsidDel="00000000">
      <w:rPr>
        <w:rtl w:val="0"/>
      </w:rPr>
      <w:t xml:space="preserve">07.05.2024. 18.21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24-TA-197</w:t>
    </w:r>
    <w:r>
      <w:br/>
    </w:r>
    <w:r w:rsidR="00000000" w:rsidRPr="00000000" w:rsidDel="00000000">
      <w:rPr>
        <w:rtl w:val="0"/>
      </w:rPr>
      <w:t xml:space="preserve">07.05.2024. 18.21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Izziņa_24-TA-197.docx</dc:title>
</cp:coreProperties>
</file>

<file path=docProps/custom.xml><?xml version="1.0" encoding="utf-8"?>
<Properties xmlns="http://schemas.openxmlformats.org/officeDocument/2006/custom-properties" xmlns:vt="http://schemas.openxmlformats.org/officeDocument/2006/docPropsVTypes"/>
</file>