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23-TA-1839: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kompetenču sadalījumu Latvijas interešu pārstāvēšanai Ekonomiskās sadarbības un attīstības organizācijā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rinda: </w:t>
            </w:r>
            <w:r w:rsidR="00000000" w:rsidRPr="00000000" w:rsidDel="00000000">
              <w:rPr>
                <w:b w:val="1"/>
                <w:rtl w:val="0"/>
              </w:rPr>
              <w:t xml:space="preserve">Ekonomikas ministrija nepiekrīt būt atbildīgā ministrija par Ekonomikas attīstības un pārskatu analīzes komiteju (Economic Development and Review Committee (EDRC)).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Ekonomikas attīstības un pārskatu analīzes komiteja (Economic Development and Review Committee (EDRC)) analizē makroekonomikas, finanšu un strukturālās politikas jautājumus, kā arī nozaru politiku konkrētās OECD dalībvalstīs un sagatavo rekomendācijas un ieteikumus, lai risinātu identificētās problēmas. Ekonomiskie ziņojumi sastāv no divām daļām – makroekonomikas un finanšu politikas un specifiskas nozaru politikas analīzes. Makroekonomikas un finanšu jautājumi tiek skatīti arī Ekonomikas politikas komitejā, kas ir Finanšu ministrijas atbildībā. Abas darba grupas uztur intensīvu dialogu par aktuālajiem izaicinājumiem un labāko praksi ekonomikas politikā.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Makroekonomikas un finanšu jautājumi tiek skatīti arī Ekonomikas politikas komitejā (EPS) un tās divās darba grupās (WP1 (Working Party No. 1 on Tax Conventions and Related Questions) un STEP (Working Group on Short-Term Economic Prospects)), kas ir Finanšu ministrijas atbildībā. Abas darba grupas uztur intensīvu dialogu par aktuālajiem izaicinājumiem un labāko praksi ekonomikas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finanšu politika un makroekonomika ir Finanšu ministrijas atbildībā, uzskatām, ka Ekonomikas attīstības un pārskatu analīzes komitejai arī ir jābūt Finanšu ministrijas atbildībā. Ekonomikas ministrija ir līdzatbildīga.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spēkā esošo rīkojumu par atbildības sadalījumu nav  korekta, jo ar šī rīkojuma aktualizēšanu, iepriekšējais zaudēs savu spēku, līdz ar to tieši šobrīd ir pareizais brīdis pārdalīt atbildības pēc būtības un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līdz šim ir darbojusies atbilstoši spēkā esošajam atbildības sadalījuma rīkojumam un Ekonomikas ministrijas specializētais atašejs - nozares padomniece Latvijas Republikas Pastāvīgajā pārstāvniecībā OECD ir apmeklējis šīs darba grupas sanāksmes, kas ietilpa darba pienākumos. Attiecīgi pārdalot kompetences starp ministrijām šis būs Finanšu ministrijas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atbildība. Ekonomikas ministrijas līdzatbildība.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(21.03.2025) ietvaros EM iebildums tiek uzturēts, bet FM nepiekrīt atbildības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izteiktos argumentus un iztrūkstot Finanšu ministrijas piekrišanai kļūt par atbildīgo institūciju, atbildība par Ekonomikas attīstības un pārskatu analīzes komiteju (Economic Development and Review Committee (EDRC)) rīkojuma projekta 2.punktā netiek mainīta.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25. augusta rīkojumā Nr. 482 “Par kompetenču sadalījumu Latvijas interešu pārstāvēšanā Ekonomiskās sadarbības un attīstības organizācijas komitejās un darba grupās” iekļautajā tabulas 2. punktā ir norādīta Ekonomiskās sadarbības un attīstības organizācijas Kukuļošanas apkarošanas starptautiskajos biznesa darījumos darba grupa, par kuru minētajā tabulā kā Latvijas atbildīgā institūcija ir norādīta Tieslietu ministrija, savukārt kā viena no līdzatbildīgajām Latvijas institūcijām ir norādīta arī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tabulā Kukuļošanas apkarošanas starptautiskajos biznesa darījumos darba grupa vairs nav iekļauta. Par tās izslēgšanu nav sniegts skaidrojums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Kukuļošanas apkarošanas starptautiskajos biznesa darījumos darba grupa joprojām darbojas un tai ir nozīmīga loma Ekonomiskās sadarbības un attīstības organizācijas  Konvencijas par ārvalstu amatpersonu kukuļošanas apkarošanu starptautiskajos biznesa darījumos ieviešanas un piemērošanas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rīkojuma projekta tabulā iekļaut Kukuļošanas apkarošanas starptautiskajos biznesa darījumos darba grupu, norādot šajā grupā Latvijas intereses pārstāvošo atbildīgo institūciju un līdzatbildīgās institūcijas. Ja minētā darba grupa netiek iekļauta rīkojuma projekta tabulā, tad, mūsuprāt, ir nepieciešams sniegt skaidrojumu anotācijā, kādēļ šī darba grupa ir izslēgta no tabulas, kur turpmāk ir pieejama informācija par Latvijas intereses pārstāvošajām institūcijām šajā darba grupā un kuras Ekonomiskās sadarbības un attīstības organizācijas  komitejas pārziņā ir šī darba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papildināts atbilstoši Finanšu ministrijas iebildumam, iekļaujot tabulā 15.rindu.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komiteju reorganizācijas rezultātā Apdrošināšanas un privāto pensiju komiteja (Insurance and Private Pensions Committee (IPPC)) ir apvienota ar Finanšu tirgu komiteja (Committee on Financial Markets (CMF)), lūdzu izslēgt IPPC no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privāto pensiju komiteja (Insurance and Private Pensions Committee (IPPC)) tiek dzēsta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rinda: Ekonomikas ministrija nepiekrīt būt atbildīgā ministrija par Ekonomikas attīstības un pārskatu analīzes komiteju (Economic Development and Review Committee (EDRC)).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Ekonomikas attīstības un pārskatu analīzes komiteja (Economic Development and Review Committee (EDRC)) analizē makroekonomikas, finanšu un strukturālās politikas jautājumus, kā arī nozaru politiku konkrētās OECD dalībvalstīs un sagatavo rekomendācijas un ieteikumus, lai risinātu identificētās problēmas. Ekonomiskie ziņojumi sastāv no divām daļām – makroekonomikas un finanšu politikas un specifiskas nozaru politikas analīzes. Makroekonomikas un finanšu jautājumi tiek skatīti arī Ekonomikas politikas komitejā, kas ir Finanšu ministrijas atbildībā. Abas darba grupas uztur intensīvu dialogu par aktuālajiem izaicinājumiem un labāko praksi ekonomikas politikā.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Makroekonomikas un finanšu jautājumi tiek skatīti arī Ekonomikas politikas komitejā (EPS) un tās divās darba grupās (WP1 (Working Party No. 1 on Tax Conventions and Related Questions) un STEP (Working Group on Short-Term Economic Prospects)), kas ir Finanšu ministrijas atbildībā. Abas darba grupas uztur intensīvu dialogu par aktuālajiem izaicinājumiem un labāko praksi ekonomikas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finanšu politika un makroekonomika ir Finanšu ministrijas atbildībā, uzskatām, ka Ekonomikas attīstības un pārskatu analīzes komitejai arī ir jābūt Finanšu ministrijas atbildībā. Ekonomikas ministrija ir līdzatbildīga.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spēkā esošo rīkojumu par atbildības sadalījumu nav  korekta, jo ar šī rīkojuma aktualizēšanu, iepriekšējais zaudēs savu spēku, līdz ar to tieši šobrīd ir pareizais brīdis pārdalīt atbildības pēc būtības un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līdz šim ir darbojusies atbilstoši spēkā esošajam atbildības sadalījuma rīkojumam un Ekonomikas ministrijas specializētais atašejs - nozares padomniece Latvijas Republikas Pastāvīgajā pārstāvniecībā OECD ir apmeklējis šīs darba grupas sanāksmes, kas ietilpa darba pienākumos. Attiecīgi pārdalot kompetences starp ministrijām šis būs Finanšu ministrijas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atbildība. Ekonomikas ministrijas līdzatbildība.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izteiktos argumentus un iztrūkstot Finanšu ministrijas piekrišanai kļūt par atbildīgo institūciju, atbildība par Ekonomikas attīstības un pārskatu analīzes komiteju (Economic Development and Review Committee (EDRC)) rīkojuma projekta 2.punktā netiek mainīta.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Ekonomikas ministrijas atbildības jomu Investīciju komitejā (Investment Committee (IC)).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1118"/>
              <w:gridCol w:w="916"/>
              <w:gridCol w:w="634"/>
              <w:tblGridChange w:id="0">
                <w:tblGrid>
                  <w:gridCol w:w="0"/>
                  <w:gridCol w:w="1118"/>
                  <w:gridCol w:w="916"/>
                  <w:gridCol w:w="63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w:t>
                  </w:r>
                  <w:r w:rsidR="00000000" w:rsidRPr="00000000" w:rsidDel="00000000">
                    <w:rPr>
                      <w:sz w:val="24"/>
                      <w:b w:val="1"/>
                      <w:rtl w:val="0"/>
                    </w:rPr>
                    <w:t xml:space="preserve">(investīciju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(tabulas 12.punkts) precizēts atbilstoši Ekonomikas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attīstības un pārskatu analīzes komiteja (Economic Development and Review Committee (EDRC)) analizē makroekonomikas, finanšu un strukturālās politikas jautājumus, kā arī nozaru politiku konkrētās OECD dalībvalstīs un sagatavo rekomendācijas un ieteikumus, lai risinātu identificētās problēmas. Ekonomiskie ziņojumi sastāv no divām daļām – makroekonomikas un finanšu politikas un specifiskas nozaru politikas analīzes. Makroekonomikas un finanšu jautājumi tiek skatīti arī Ekonomikas politikas komitejā, kas ir Finanšu ministrijas atbildībā. Abas darba grupas uztur intensīvu dialogu par aktuālajiem izaicinājumiem un labāko praksi ekonomikas politikā.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finanšu politika un makroekonomika ir Finanšu ministrijas atbildībā, uzskatām, ka Ekonomikas attīstības un pārskatu analīzes komitejai arī ir jābūt Finanšu ministrijas atbildībā. Ekonomikas ministrija ir līdzatbildīga.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1085"/>
              <w:gridCol w:w="419"/>
              <w:gridCol w:w="1186"/>
              <w:tblGridChange w:id="0">
                <w:tblGrid>
                  <w:gridCol w:w="0"/>
                  <w:gridCol w:w="1085"/>
                  <w:gridCol w:w="419"/>
                  <w:gridCol w:w="11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Ekonomikas ministrija</w:t>
                  </w:r>
                  <w:r w:rsidR="00000000" w:rsidRPr="00000000" w:rsidDel="00000000">
                    <w:rPr>
                      <w:sz w:val="24"/>
                      <w:rtl w:val="0"/>
                    </w:rPr>
                    <w:t xml:space="preserve">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w:t>
                  </w:r>
                  <w:r w:rsidR="00000000" w:rsidRPr="00000000" w:rsidDel="00000000">
                    <w:rPr>
                      <w:sz w:val="24"/>
                      <w:b w:val="1"/>
                      <w:rtl w:val="0"/>
                    </w:rPr>
                    <w:t xml:space="preserve">Ekonomikas ministrija</w:t>
                  </w:r>
                  <w:r w:rsidR="00000000" w:rsidRPr="00000000" w:rsidDel="00000000">
                    <w:rPr>
                      <w:sz w:val="24"/>
                      <w:rtl w:val="0"/>
                    </w:rPr>
                    <w:t xml:space="preserve">, </w:t>
                  </w:r>
                  <w:r w:rsidR="00000000" w:rsidRPr="00000000" w:rsidDel="00000000">
                    <w:rPr>
                      <w:sz w:val="24"/>
                      <w:strike w:val="1"/>
                      <w:rtl w:val="0"/>
                    </w:rPr>
                    <w:t xml:space="preserve">Finanšu ministrija</w:t>
                  </w:r>
                  <w:r w:rsidR="00000000" w:rsidRPr="00000000" w:rsidDel="00000000">
                    <w:rPr>
                      <w:sz w:val="24"/>
                      <w:rtl w:val="0"/>
                    </w:rPr>
                    <w:t xml:space="preserve">, Izglītības un zinātnes ministrija, Labklājības ministrija, Latvijas Banka, Satiksmes ministrija, Tieslietu ministrija, Valsts kanceleja, Veselības ministrija, Vides aizsardzības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Ministru kabineta 2016. gada 25. augusta rīkojums Nr. 482 “Par kompetenču sadalījumu Latvijas interešu pārstāvēšanā Ekonomiskās sadarbības un attīstības organizācijas komitejās un darba grupās” nosaka, ka Ekonomikas ministrija ir atbildīga par Ekonomikas attīstības un pārskatu komiteju (EDRC), bet Finanšu ministrija ir noteikta par vienu no līdzatbildīgajām institūcijām. Ekonomikas ministrijas piedāvātājai atbildības maiņai ir nepieciešama Finanšu ministrijas piekrišana, par ko Ārlietu ministrijā informācija nav saņemta. Līdz attiecīgas vienošanās panākšanai starp ministrijām spēkā ir valdības 2016.gada lēmums, kas nosaka Ekonomikas ministriju par atbildīgo.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ekonomikas politika un attīstība kopumā ir Ekonomikas ministrijas kompetencē. Saskaņā ar Ekonomikas ministrijas nolikumu tās kompetencē ir tautsaimniecības struktūrpolitika, kas cita starpā ietver arī pārskatu gatavošanu par valsts ekonomisko situāciju un konkurētspēju, priekšlikumu izstrādāšanu par nepieciešamajām izmaiņām struktūrpolitikā, makroekonomiskās analīzes veikšanu un tautsaimniecības attīstības ilgtermiņa scenāriju un prognožu izstrādi. Turklāt Ekonomikas ministrijas specializētais atašejs - nozares padomniece Latvijas Republikas Pastāvīgajā pārstāvniecībā OECD Skaidrīte Rancāne-Slavinska piedalās EDRC darbā un ir EDRC paplašinātās komitejas locekle kopš 2023.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tabulā papildus norādīt Valsts kanceleju kā līdzatbildīgo institūciju sekojošās komitejās: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punkts Ekonomikas politikas komiteja (Economic Policy Committee (EPC)),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punkts Konkurences komiteja (Competition Committee),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punkts Reģionālās attīstības politikas komiteja (Regional Development Policy Committee (RDPC)),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punkts Vecāko budžeta amatpersonu komiteja (Committee of Senior Budget Officials (SBO)).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savas kompetences ietvaros būs līdzatbildīgā institūcija šajās komitejās.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(tabulas 8., 14., 23. un 28. punkti) precizēts saskaņā ar Valsts kancelejas izteikto iebildumu, nosakot Valsts kanceleju par līdzatbildīgo institūciju attiecīgajās komitejās.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(CFM))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Valsts kanceleja,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30. punktā Valsts kanceleja ir noteikta kā līdzatbildīgā institūcija Vides politikas komitejā. Valsts kancelejas kompetencē neietilpst vides politikas jautājumu risināšana, kā arī no pieejamās informācijas nav skaidrs, kāda varētu būt Valsts kancelejas iesaiste minētās komitejas darbā. Līdz ar to lūdzam 30. punktā svītrot Valsts kanceleju kā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tabulas 30.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(CFM))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Valsts kanceleja,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nepiekrīt norādītajai atbildībai OECD Investīciju komitejā līdztekus Ārlietu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Ekonomikas ministrija savas kompetences ietvaros piekrīt būt kā līdzatbildīgā iestāde minētajā komitejā. Tādējādi arī saglabājot vienotu pieeju darbam komitejās, ka ir viena atbildīgā ministrija un vairākas līdzatbildīgās atbilstoši kompetencei.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7"/>
              <w:gridCol w:w="936"/>
              <w:gridCol w:w="880"/>
              <w:tblGridChange w:id="0">
                <w:tblGrid>
                  <w:gridCol w:w="957"/>
                  <w:gridCol w:w="936"/>
                  <w:gridCol w:w="88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r w:rsidR="00000000" w:rsidRPr="00000000" w:rsidDel="00000000">
                    <w:rPr>
                      <w:sz w:val="24"/>
                      <w:strike w:val="1"/>
                      <w:rtl w:val="0"/>
                    </w:rPr>
                    <w:t xml:space="preserve">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w:t>
                  </w:r>
                  <w:r w:rsidR="00000000" w:rsidRPr="00000000" w:rsidDel="00000000">
                    <w:rPr>
                      <w:sz w:val="24"/>
                      <w:b w:val="1"/>
                      <w:rtl w:val="0"/>
                    </w:rPr>
                    <w:t xml:space="preserve">Ekonomikas ministrija</w:t>
                  </w:r>
                  <w:r w:rsidR="00000000" w:rsidRPr="00000000" w:rsidDel="00000000">
                    <w:rPr>
                      <w:sz w:val="24"/>
                      <w:rtl w:val="0"/>
                    </w:rPr>
                    <w:t xml:space="preserve">, Finanšu ministrija, Satiksmes ministrija, Tieslietu ministrija, Zemkopības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atbildību par OECD komiteju vai darba grupu, noteicošais ir Latvijas institūcijas kompetence un funkcijas iepretim attiecīgajā OECD struktūrvienībā izskatāmajiem jautājumiem. Šo principu ir svarīgi ievērot, jo OECD apvieno nozares ekspertus, kuri izstrādā rekomendācijas un standartus savas darbības jomā un vienlaikus ir atbildīgi par šo standartu ieviešanu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komiteja strādā divos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investīciju aizsardzības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investīciju piesaiste, gan uzņēmējdarbības vides, gan investīciju piesaistes aģentūru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attiecīgajā komitejā tiek skatīti gan Ārlietu ministrijas, gan Ekonomikas ministrijas atbildībā esošie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'vienotu pieeju darbam komitejās' ir nepamatota, jo rīkojuma projektā ir trīs komitejas, par kuru ir atbildīgas divas Latvijas institūcijas. Turklāt viena no tām ir Konkurences komiteja, par kuru atbildīga ir gan Ekonomikas ministrija, gan Konkurences padome.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22. septembra noteikumu Nr. 588 “Ekonomikas ministrijas nolikumu” 4.1.1., 4.1.4., 4.1.6., 4.1.7. un 4.1.11. apakšpunktu  Ekonomikas ministrijai ir virkne funkciju un kompetenču, kas pamato Ekonomikas ministrijas kā atbildīgās noteikšanu OECD Investīciju komitejā. Ārējās ekonomiskās politikas jomā, kā minēts šī nolikuma 5.8.1. apakšpunktā, ministrijai ir uzdots izstrādāt un īstenot eksporta veicināšanas un ārvalstu investīciju piesaistes pasākumus. Papildus jāatzīmē, ka Latvijas Investīciju un attīstības aģentūras, kas ir ekonomikas ministra pakļautības iestāde, atbilstoši Ministru kabineta 2012. gada 11. decembra noteikumu Nr. 857 “Latvijas Investīciju un attīstības aģentūras nolikums” 3.2. punktam, funkcija ir investīciju piesaiste.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par Latvijas dalības iemaksām OECD programmās šādas 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1970"/>
              <w:gridCol w:w="928"/>
              <w:tblGridChange w:id="0">
                <w:tblGrid>
                  <w:gridCol w:w="0"/>
                  <w:gridCol w:w="1970"/>
                  <w:gridCol w:w="9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Globālais forums par pārredzamību un informācijas apmaiņu nodokļu vajadzībām (Global Forum on Transparency and Exchange of Information for Tax Purposes (GFTEI))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Ilgtspējīga Lauksaimniecība un pārtikas sistēmas pētniecības sadarbības programma (Sustainable Agricalture and Food Systems (CRP))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pētniecības un inovāciju centrs (Centre for Educational Research and Innovation Governing Board (CERI))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sistēmu indikatoru programma (Indicators of Education Systems (INES)), un tās tīkli NESLI un LSO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Kodi un shēmas/ sēklas (Codes and Schemes/ Seeds)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pārvaldības programma (Chemicals Management Programme)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administrēšanas Forums (Forum on Tax Administration (FTA))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mācību vides pētījuma programma (Programme for the Teaching and Learning International Survey (TALIS))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transporta forums (International Transport Forum (ITF))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pieaugušo kompetenču novērtēšanas programma (Programme for the International Assessment of Adult Competencies (PIAAC))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skolēnu novērtēšanas programma  (Programme for International Student Assessment (PISA))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Vietējās ekonomikas un nodarbinātības attīstības programma (Local Economic and Employment Development (LEED))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3.punktu ar iemaksu OECD Konvencijas par administratīvo sadarbību nodokļu jomā koordinējošai iestādei, ko Valsts kase finansē no 41.03.00 apakšprogrammas "Iemaksas starptautiskajās organizācijās".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Konvencijas par administratīvo sadarbību nodokļu jomā koordinējošai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(tabulas 8. punkts) papildināts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par Latvijas dalības iemaksām OECD programmās šādas 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1970"/>
              <w:gridCol w:w="928"/>
              <w:tblGridChange w:id="0">
                <w:tblGrid>
                  <w:gridCol w:w="0"/>
                  <w:gridCol w:w="1970"/>
                  <w:gridCol w:w="9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Globālais forums par pārredzamību un informācijas apmaiņu nodokļu vajadzībām (</w:t>
                  </w:r>
                  <w:r w:rsidR="00000000" w:rsidRPr="00000000" w:rsidDel="00000000">
                    <w:rPr>
                      <w:sz w:val="24"/>
                      <w:i w:val="1"/>
                      <w:rtl w:val="0"/>
                    </w:rPr>
                    <w:t xml:space="preserve">Global Forum on Transparency and Exchange of Information for Tax Purposes (GFTEI)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Ilgtspējīga Lauksaimniecība un pārtikas sistēmas pētniecības sadarbības programma (</w:t>
                  </w:r>
                  <w:r w:rsidR="00000000" w:rsidRPr="00000000" w:rsidDel="00000000">
                    <w:rPr>
                      <w:sz w:val="24"/>
                      <w:i w:val="1"/>
                      <w:rtl w:val="0"/>
                    </w:rPr>
                    <w:t xml:space="preserve">Sustainable Agricalture and Food Systems (CRP)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pētniecības un inovāciju centrs (</w:t>
                  </w:r>
                  <w:r w:rsidR="00000000" w:rsidRPr="00000000" w:rsidDel="00000000">
                    <w:rPr>
                      <w:sz w:val="24"/>
                      <w:i w:val="1"/>
                      <w:rtl w:val="0"/>
                    </w:rPr>
                    <w:t xml:space="preserve">Centre for Educational Research and Innovation Governing Board (CERI)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sistēmu indikatoru programma (</w:t>
                  </w:r>
                  <w:r w:rsidR="00000000" w:rsidRPr="00000000" w:rsidDel="00000000">
                    <w:rPr>
                      <w:sz w:val="24"/>
                      <w:i w:val="1"/>
                      <w:rtl w:val="0"/>
                    </w:rPr>
                    <w:t xml:space="preserve">Indicators of Education Systems (INES)</w:t>
                  </w:r>
                  <w:r w:rsidR="00000000" w:rsidRPr="00000000" w:rsidDel="00000000">
                    <w:rPr>
                      <w:sz w:val="24"/>
                      <w:rtl w:val="0"/>
                    </w:rPr>
                    <w:t xml:space="preserve">), un tās tīkli </w:t>
                  </w:r>
                  <w:r w:rsidR="00000000" w:rsidRPr="00000000" w:rsidDel="00000000">
                    <w:rPr>
                      <w:sz w:val="24"/>
                      <w:i w:val="1"/>
                      <w:rtl w:val="0"/>
                    </w:rPr>
                    <w:t xml:space="preserve">NESLI</w:t>
                  </w:r>
                  <w:r w:rsidR="00000000" w:rsidRPr="00000000" w:rsidDel="00000000">
                    <w:rPr>
                      <w:sz w:val="24"/>
                      <w:rtl w:val="0"/>
                    </w:rPr>
                    <w:t xml:space="preserve"> un </w:t>
                  </w:r>
                  <w:r w:rsidR="00000000" w:rsidRPr="00000000" w:rsidDel="00000000">
                    <w:rPr>
                      <w:sz w:val="24"/>
                      <w:i w:val="1"/>
                      <w:rtl w:val="0"/>
                    </w:rPr>
                    <w:t xml:space="preserve">LSO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Kodi un shēmas/ sēklas (</w:t>
                  </w:r>
                  <w:r w:rsidR="00000000" w:rsidRPr="00000000" w:rsidDel="00000000">
                    <w:rPr>
                      <w:sz w:val="24"/>
                      <w:i w:val="1"/>
                      <w:rtl w:val="0"/>
                    </w:rPr>
                    <w:t xml:space="preserve">Codes and Schemes/ Seeds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pārvaldības programma (</w:t>
                  </w:r>
                  <w:r w:rsidR="00000000" w:rsidRPr="00000000" w:rsidDel="00000000">
                    <w:rPr>
                      <w:sz w:val="24"/>
                      <w:i w:val="1"/>
                      <w:rtl w:val="0"/>
                    </w:rPr>
                    <w:t xml:space="preserve">Chemicals Management Programme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administrēšanas Forums (</w:t>
                  </w:r>
                  <w:r w:rsidR="00000000" w:rsidRPr="00000000" w:rsidDel="00000000">
                    <w:rPr>
                      <w:sz w:val="24"/>
                      <w:i w:val="1"/>
                      <w:rtl w:val="0"/>
                    </w:rPr>
                    <w:t xml:space="preserve">Forum on Tax Administration (FTA)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Konvencijas par administratīvo sadarbību nodokļu jomā koordinējošā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mācību vides pētījuma programma (</w:t>
                  </w:r>
                  <w:r w:rsidR="00000000" w:rsidRPr="00000000" w:rsidDel="00000000">
                    <w:rPr>
                      <w:sz w:val="24"/>
                      <w:i w:val="1"/>
                      <w:rtl w:val="0"/>
                    </w:rPr>
                    <w:t xml:space="preserve">Programme for the Teaching and Learning International Survey (TALIS)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transporta forums (</w:t>
                  </w:r>
                  <w:r w:rsidR="00000000" w:rsidRPr="00000000" w:rsidDel="00000000">
                    <w:rPr>
                      <w:sz w:val="24"/>
                      <w:i w:val="1"/>
                      <w:rtl w:val="0"/>
                    </w:rPr>
                    <w:t xml:space="preserve">International Transport Forum (ITF)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pieaugušo kompetenču novērtēšanas programma (</w:t>
                  </w:r>
                  <w:r w:rsidR="00000000" w:rsidRPr="00000000" w:rsidDel="00000000">
                    <w:rPr>
                      <w:sz w:val="24"/>
                      <w:i w:val="1"/>
                      <w:rtl w:val="0"/>
                    </w:rPr>
                    <w:t xml:space="preserve">Programme for the International Assessment of Adult Competencies (PIAAC)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skolēnu novērtēšanas programma  (</w:t>
                  </w:r>
                  <w:r w:rsidR="00000000" w:rsidRPr="00000000" w:rsidDel="00000000">
                    <w:rPr>
                      <w:sz w:val="24"/>
                      <w:i w:val="1"/>
                      <w:rtl w:val="0"/>
                    </w:rPr>
                    <w:t xml:space="preserve">Programme for International Student Assessment (PISA)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Vietējās ekonomikas un nodarbinātības attīstības programma (</w:t>
                  </w:r>
                  <w:r w:rsidR="00000000" w:rsidRPr="00000000" w:rsidDel="00000000">
                    <w:rPr>
                      <w:sz w:val="24"/>
                      <w:i w:val="1"/>
                      <w:rtl w:val="0"/>
                    </w:rPr>
                    <w:t xml:space="preserve">Local Economic and Employment Development (LEED)</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rīcības programma klimata jomā (International Programme for Action on Climate (IPAC))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Atbildīgās un līdzatbildīgās institūcijas seko līdzi OECD komiteju darbam un pārstāv Latvijas intereses OECD tiesību aktu, ziņojumu un pētījumu izstrādē.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4.punktu, izdarot atsauci uz rīkojuma projekta 2.punktu, tādejādi nosakot, kuru atbildīgo un līdzatbildīgo institūciju pienākums ir sekot līdzi OECD komiteju darbam un pārstāvēt Latvijas intereses OECD tiesību aktu, ziņojumu un pētījumu izstrādē, ņemot vērā, ka minētais pienākums neattiecas uz institūcijām, kuras ir atbildīgas par Latvijas dalības iemaksām OECD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Rīkojumā 2.punktā noteiktās atbildīgās un līdzatbildīgās institūcijas seko līdzi OECD komiteju darbam un pārstāvēt Latvijas intereses OECD tiesību aktu, ziņojumu un pētījumu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precizēts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2.punktā noteiktās atbildīgās un līdzatbildīgās institūcijas seko līdzi OECD pārvaldības un tematisko komiteju un darba grupu darbam un pārstāv Latvijas intereses OECD tiesību aktu, ziņojumu un pētījumu izstrādē.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tabulas 21. punktā noteiktas atbildīgās un līdzatbildīgās institūcijas par Publiskās pārvaldības komiteju.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komitejas struktūrā ir gan pati komiteja, gan arī vairākas tās izveidotas darba grupas (</w:t>
            </w:r>
            <w:r w:rsidR="00000000" w:rsidRPr="00000000" w:rsidDel="00000000">
              <w:rPr>
                <w:i w:val="1"/>
                <w:rtl w:val="0"/>
              </w:rPr>
              <w:t xml:space="preserve">subsidiary bodies</w:t>
            </w:r>
            <w:r w:rsidR="00000000" w:rsidRPr="00000000" w:rsidDel="00000000">
              <w:rPr>
                <w:rtl w:val="0"/>
              </w:rPr>
              <w:t xml:space="preserve">). Publiskās pārvaldības komitejai kopskaitā ir astoņas darba grupas. Gan komitejai, gan katrai darba grupai ir savs OECD Padomes apstiprināts mandāts, tās ievēlē savu priekšsēdētāju, saņem uzaicinājumus uz sanāksmēm, dokumentus un anketas (informāciju darba grupām nesūta caur komiteju, bet dalībvalsts pārstāvjiem darba grupā). Tātad, darba grupas darbojas autonomi no komitejas. Latvijas pārstāvju dalība ir vienlīdz svarīga gan komitejā, gan darba grupās, kā arī Latvijai nozīmīgās neformālās grupās.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projektā norādīt informāciju par Publiskās pārvaldības komitejas atbildību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Publiskās pārvaldības komiteja (PGC) </w:t>
            </w:r>
            <w:r w:rsidR="00000000" w:rsidRPr="00000000" w:rsidDel="00000000">
              <w:rPr>
                <w:rtl w:val="0"/>
              </w:rPr>
              <w:t xml:space="preserve">- Valsts kanceleja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PGC darba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of Senior Public Integrity Officials-SPIO -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on Public Employement and Management-PEM - Valsts kanceleja un Valsts administrācijas 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on Open Government - Valsts kanceleja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Senior Officials from Centres of Government  -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on Gender Mainstreaming and Governance -  Labklājības ministrija un Valsts kanceleja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of Senior Digital Government Officials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Working Party of Leading Practitionners on Public Procurement - Finanšu ministrija un 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High Level Risk Forum - Aizsardzības ministrija un Iekšlietu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PGC neformālās grupas: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Network of the Contact Points of the Observatory of Public Sector Innovation - OPSI - nacionālā kontaktpunkta funkcijas OPSI pilda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Global Roundable on Equal Access to Justice -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7.5. punkts ar šādu informāciju: "Atbildīgās institūcijas sniedz informāciju citām rīkojumā minētajām institūcijām par komiteju ietvaros jaunizveidotajām struktūrvienībām un tajās izskatāmo jautājumu saturu. Informācija par jaunu OECD komiteju vai darba grupu izveidi, to kompetenci un atbildīgo institūciju noteikšanu var tikt sniegta un apspriesta klātienē starpinstitūciju darba grupas Latvijas dalības Ekonomiskās sadarbības un attīstības organizācijā (OECD) koordinēšanas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plāno izveidot informatīvu katalogu par komitejām pakārtotajām struktūrvienībām, apzinot par tām atbildīgās Latvijas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vispārīgu informāciju par OECD komitejām un to darba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komiteju un darba grupu datu bāzē ir pieejama aktuālā informācija par OECD komitejām un darba grupām, to nosaukumi, informācija par mandātu, priekšsēdētāju un cita svarīga informācija (skatīt:  https://oecdgroups.oecd.org - "Parent Body/Group").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kancelejas iebildumu, ir papildināta anotācijas 1.6. sadaļa "Cita informācija", norādot OECD tīmekļa vietni, kur iegūt aktuālo informāciju par OECD komitejām un darba grupām, tai skaitā piešķirto mandātu un vadītājiem </w:t>
            </w:r>
            <w:r w:rsidR="00000000" w:rsidRPr="00000000" w:rsidDel="00000000">
              <w:rPr>
                <w:i w:val="1"/>
                <w:rtl w:val="0"/>
              </w:rPr>
              <w:t xml:space="preserve">"On-Line Guide to OECD Intergovernmental Activity"</w:t>
            </w:r>
            <w:r w:rsidR="00000000" w:rsidRPr="00000000" w:rsidDel="00000000">
              <w:rPr>
                <w:rtl w:val="0"/>
              </w:rPr>
              <w:t xml:space="preserve"> https://oecdgroups.oecd.org/Bodies/ListByNameView.aspx.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ir jānorāda tiesību akta projekta ietekme uz institūcijām, to funkcijām un cilvēkresursiem. Norādāmas institūcijas, kas būs atbildīgas par tiesību akta projekta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nav noteikti galvenie atbildīgās un līdzatbildīgās institūcijas uzdevumi un rīcības modelis situācijās, kad veidojas jauni OECD formāti.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7.5. sadaļā "Cita informācija" (vai citā piemērotā vietā tiesību akta projektā) norādīt, ka atbildīgās institūcijas, kā arī līdzatbildīgās institūcijas, pienākums ir sekot līdzi komitejas vai darba grupas darbam, pārstāvot Latvijas intereses. Atbildīgās institūcijas, kā arī līdzatbildīgās institūcijas, kur attiecināms, apmeklē komitejas vai darba grupas sanāksmes, iepazīstas ar komitejas vai darba grupas dokumentiem un sniedz informāciju par Latviju OECD aptaujās un ziņojumos, pārsūta OECD dokumentus, anketas un ielūgumus uz sanāksmēm citām Latvijas institūcijām, kuru kompetencē tie ir, kā arī popularizē komitejas vai darba grupas darba rezultātus sabiedrībā. Ja komiteja izveido jaunu darba grupu vai neformālu struktūru, par komiteju atbildīgā institūcija nodrošina Latvijas dalību tajā vai uzrunā citas valsts institūcijas nodrošināt dalību, bet sarežģītos gadījumos lūdz Ārlietu ministrijas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papildināts ar 4. punktu: "4. Atbildīgās un līdzatbildīgās institūcijas seko līdzi OECD komiteju darbam un pārstāv Latvijas intereses OECD tiesību aktu, ziņojumu un pētījumu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papildināts ar 5. punktu: "5. Atbildība par OECD komiteju ietvaros izveidotajām darba grupām un citām struktūrvienībām tiek noteikta institūcijām, kuru funkcijas, uzdevumi un kompetence vislielākā mērā atbilst attiecīgajā OECD struktūrvienībā izskatāmo jautājumu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iebildumam ir papildināta anotācijas 7.5. 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2. punkta tabula ir papildināta ar Kukuļošanas apkarošanas starptautiskajos biznesa darījumos darba grupu (tabulas 15. punkts),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rīkojuma projekta 2. punkta ievaddaļu, norādot, ka Latvijas intereses tiek pārstāvētas arī attiecīgajā darba grupā, jo šobrīd rīkojuma projekta 2. punkta ievaddaļā ir minēts, ka Latvijas intereses tiek pārstāvētas tikai OECD komitejās;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tabulas otrās kolonnas nosaukumu, iekļaujot tajā arī norādi  uz darba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priekšlikumu, precizēta izmantotā terminoloģija rīkojuma 1., 2. un 4.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2.punkta 17.rindā</w:t>
            </w:r>
            <w:r w:rsidR="00000000" w:rsidRPr="00000000" w:rsidDel="00000000">
              <w:rPr>
                <w:i w:val="1"/>
                <w:rtl w:val="0"/>
              </w:rPr>
              <w:t xml:space="preserve"> Lauksaimniecības komiteja (Committee for Agriculture (COAG))</w:t>
            </w:r>
            <w:r w:rsidR="00000000" w:rsidRPr="00000000" w:rsidDel="00000000">
              <w:rPr>
                <w:rtl w:val="0"/>
              </w:rPr>
              <w:t xml:space="preserve"> un 32.rindā</w:t>
            </w:r>
            <w:r w:rsidR="00000000" w:rsidRPr="00000000" w:rsidDel="00000000">
              <w:rPr>
                <w:i w:val="1"/>
                <w:rtl w:val="0"/>
              </w:rPr>
              <w:t xml:space="preserve"> Zivsaimniecības komiteja (Fisheries Committee (COFI))</w:t>
            </w:r>
            <w:r w:rsidR="00000000" w:rsidRPr="00000000" w:rsidDel="00000000">
              <w:rPr>
                <w:rtl w:val="0"/>
              </w:rPr>
              <w:t xml:space="preserve"> kā Latvijas līdzatbildīgo institūciju aicinām pievienot Viedās administrācijas un reģionālās attīstības ministriju, ņemot vērā to, ka lauksaimniecības un zivsaimniecības politikas īstenošana ir cieši saistīta ar bioloģiskās daudzveidības saglabāšanas jautājumiem un vides politikas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precizēts atbilstoši VARAM priekšlikumam, nosakot VARAM par līdzatbildīgo institūciju Lauksaimniecības komitejā (Committee for Agriculture (COAG)) un Zivsaimniecības komitejā (Fisheries Committee (COFI)).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komitejā (EPOC) noteikt Zemkopības ministriju (ZM) kā atbildīgo ministriju līdzās VARAM un KEM.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Vides politikas komitejas (EPOC) darba un budžeta programmā meža nozare ir identificēta kā atsevišķa prioritārā joma. EPOC ietvaros plānots izstrādāt visaptverošu juridisko instrumentu meža nozarei, kas ietvertu visas ilgtspējas un nozares dimensijas. Tā kā Latvijā par meža nozari atbildīgā institūcija ir Zemkopības ministrija, kura izstrādā un ievieš meža politiku, kā arī veicina ilgtspējīgu meža apsaimniekošanu, ir svarīgi, lai jautājumi, kas EPOC ietvaros skar meža nozari, tiktu koordinēti tieši no ZM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komiteja (Environment Policy Committee (EPOC))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Viedās administrācijas un reģionālās attīstības ministrija, Klimata un enerģētikas ministrija, Zemkopības ministrija (meža nozares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Ekonomikas ministrija, Finanšu ministrija, Iekšlietu ministrija, Satiksmes ministrija, Veselības ministrija, </w:t>
            </w:r>
            <w:r w:rsidR="00000000" w:rsidRPr="00000000" w:rsidDel="00000000">
              <w:rPr>
                <w:strike w:val="1"/>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precizēts atbilstoši Zemkopības ministrijas priekšlikumam, nosakot Zemkopības ministriju par atbildīgo institūciju meža nozares jautājumos Vides politikas komitejā (Environment Policy Committee (EPOC)).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2.punkta 23.rindā papildināt līdzdzatbildīgās institūcijas ar Klimata un enerģētikas ministriju, ņemot vērā, ka arī tās kompetences jautājumi mēdz tikt skarti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papildināts atbilstoši VARAM priekšlikumam, nosakot Klimata un enerģētikas ministriju par līdzatbildīgo institūciju Reģionālās attīstības politikas komitejā (Regional Development Policy Committee (RDPC)).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2. punkta 30. rindā "Vides politikas komiteja"  sakārtot atbildīgās institūcijas alfabētiskā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2.punkta 30.rindā atbildīgās institūcijas sakārtotas alfabētiskā secībā.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tabulas 13.punktu "13.Izglītības politikas komiteja (Education Policy Committee (EPC))"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"13.Izglītības politikas komiteja (Education Policy Committee (EDPC))"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(tabulas 13. punkts) precizēts saskaņā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pārvaldības un tematiskās komitejās un darba grupās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pārvaldības un tematiskās komitejas un darba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Kultūras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Kultūras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Kukuļošanas apkarošanas starptautiskajos biznesa darījumos darba grupa (</w:t>
                  </w:r>
                  <w:r w:rsidR="00000000" w:rsidRPr="00000000" w:rsidDel="00000000">
                    <w:rPr>
                      <w:sz w:val="24"/>
                      <w:i w:val="1"/>
                      <w:rtl w:val="0"/>
                    </w:rPr>
                    <w:t xml:space="preserve">Working Group on Bribery in International Business Transactions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Korupcijas novēršanas un apkarošanas birojs, Valsts kanceleja, Valsts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Klimata un enerģētikas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Viedās administrācijas un reģionālās attīstības ministrija, Zemkopības ministrija (meža nozares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par Latvijas dalības iemaksām OECD programmās šādas 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1970"/>
              <w:gridCol w:w="928"/>
              <w:tblGridChange w:id="0">
                <w:tblGrid>
                  <w:gridCol w:w="0"/>
                  <w:gridCol w:w="1970"/>
                  <w:gridCol w:w="9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Globālais forums par pārredzamību un informācijas apmaiņu nodokļu vajadzībām (</w:t>
                  </w:r>
                  <w:r w:rsidR="00000000" w:rsidRPr="00000000" w:rsidDel="00000000">
                    <w:rPr>
                      <w:sz w:val="24"/>
                      <w:i w:val="1"/>
                      <w:rtl w:val="0"/>
                    </w:rPr>
                    <w:t xml:space="preserve">Global Forum on Transparency and Exchange of Information for Tax Purposes (GFTEI)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Ilgtspējīga Lauksaimniecība un pārtikas sistēmas pētniecības sadarbības programma (</w:t>
                  </w:r>
                  <w:r w:rsidR="00000000" w:rsidRPr="00000000" w:rsidDel="00000000">
                    <w:rPr>
                      <w:sz w:val="24"/>
                      <w:i w:val="1"/>
                      <w:rtl w:val="0"/>
                    </w:rPr>
                    <w:t xml:space="preserve">Sustainable Agricalture and Food Systems (CRP)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pētniecības un inovāciju centrs (</w:t>
                  </w:r>
                  <w:r w:rsidR="00000000" w:rsidRPr="00000000" w:rsidDel="00000000">
                    <w:rPr>
                      <w:sz w:val="24"/>
                      <w:i w:val="1"/>
                      <w:rtl w:val="0"/>
                    </w:rPr>
                    <w:t xml:space="preserve">Centre for Educational Research and Innovation Governing Board (CERI)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sistēmu indikatoru programma (</w:t>
                  </w:r>
                  <w:r w:rsidR="00000000" w:rsidRPr="00000000" w:rsidDel="00000000">
                    <w:rPr>
                      <w:sz w:val="24"/>
                      <w:i w:val="1"/>
                      <w:rtl w:val="0"/>
                    </w:rPr>
                    <w:t xml:space="preserve">Indicators of Education Systems (INES)</w:t>
                  </w:r>
                  <w:r w:rsidR="00000000" w:rsidRPr="00000000" w:rsidDel="00000000">
                    <w:rPr>
                      <w:sz w:val="24"/>
                      <w:rtl w:val="0"/>
                    </w:rPr>
                    <w:t xml:space="preserve">), un tās tīkli </w:t>
                  </w:r>
                  <w:r w:rsidR="00000000" w:rsidRPr="00000000" w:rsidDel="00000000">
                    <w:rPr>
                      <w:sz w:val="24"/>
                      <w:i w:val="1"/>
                      <w:rtl w:val="0"/>
                    </w:rPr>
                    <w:t xml:space="preserve">NESLI</w:t>
                  </w:r>
                  <w:r w:rsidR="00000000" w:rsidRPr="00000000" w:rsidDel="00000000">
                    <w:rPr>
                      <w:sz w:val="24"/>
                      <w:rtl w:val="0"/>
                    </w:rPr>
                    <w:t xml:space="preserve"> un </w:t>
                  </w:r>
                  <w:r w:rsidR="00000000" w:rsidRPr="00000000" w:rsidDel="00000000">
                    <w:rPr>
                      <w:sz w:val="24"/>
                      <w:i w:val="1"/>
                      <w:rtl w:val="0"/>
                    </w:rPr>
                    <w:t xml:space="preserve">LSO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Kodi un shēmas/ sēklas (</w:t>
                  </w:r>
                  <w:r w:rsidR="00000000" w:rsidRPr="00000000" w:rsidDel="00000000">
                    <w:rPr>
                      <w:sz w:val="24"/>
                      <w:i w:val="1"/>
                      <w:rtl w:val="0"/>
                    </w:rPr>
                    <w:t xml:space="preserve">Codes and Schemes/ Seeds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pārvaldības programma (</w:t>
                  </w:r>
                  <w:r w:rsidR="00000000" w:rsidRPr="00000000" w:rsidDel="00000000">
                    <w:rPr>
                      <w:sz w:val="24"/>
                      <w:i w:val="1"/>
                      <w:rtl w:val="0"/>
                    </w:rPr>
                    <w:t xml:space="preserve">Chemicals Management Programme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administrēšanas Forums (</w:t>
                  </w:r>
                  <w:r w:rsidR="00000000" w:rsidRPr="00000000" w:rsidDel="00000000">
                    <w:rPr>
                      <w:sz w:val="24"/>
                      <w:i w:val="1"/>
                      <w:rtl w:val="0"/>
                    </w:rPr>
                    <w:t xml:space="preserve">Forum on Tax Administration (FTA)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Konvencijas par administratīvo sadarbību nodokļu jomā koordinējošā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mācību vides pētījuma programma (</w:t>
                  </w:r>
                  <w:r w:rsidR="00000000" w:rsidRPr="00000000" w:rsidDel="00000000">
                    <w:rPr>
                      <w:sz w:val="24"/>
                      <w:i w:val="1"/>
                      <w:rtl w:val="0"/>
                    </w:rPr>
                    <w:t xml:space="preserve">Programme for the Teaching and Learning International Survey (TALIS)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transporta forums (</w:t>
                  </w:r>
                  <w:r w:rsidR="00000000" w:rsidRPr="00000000" w:rsidDel="00000000">
                    <w:rPr>
                      <w:sz w:val="24"/>
                      <w:i w:val="1"/>
                      <w:rtl w:val="0"/>
                    </w:rPr>
                    <w:t xml:space="preserve">International Transport Forum (ITF)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pieaugušo kompetenču novērtēšanas programma (</w:t>
                  </w:r>
                  <w:r w:rsidR="00000000" w:rsidRPr="00000000" w:rsidDel="00000000">
                    <w:rPr>
                      <w:sz w:val="24"/>
                      <w:i w:val="1"/>
                      <w:rtl w:val="0"/>
                    </w:rPr>
                    <w:t xml:space="preserve">Programme for the International Assessment of Adult Competencies (PIAAC)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skolēnu novērtēšanas programma  (</w:t>
                  </w:r>
                  <w:r w:rsidR="00000000" w:rsidRPr="00000000" w:rsidDel="00000000">
                    <w:rPr>
                      <w:sz w:val="24"/>
                      <w:i w:val="1"/>
                      <w:rtl w:val="0"/>
                    </w:rPr>
                    <w:t xml:space="preserve">Programme for International Student Assessment (PISA)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Vietējās ekonomikas un nodarbinātības attīstības programma (</w:t>
                  </w:r>
                  <w:r w:rsidR="00000000" w:rsidRPr="00000000" w:rsidDel="00000000">
                    <w:rPr>
                      <w:sz w:val="24"/>
                      <w:i w:val="1"/>
                      <w:rtl w:val="0"/>
                    </w:rPr>
                    <w:t xml:space="preserve">Local Economic and Employment Development (LEED)</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tabulā nr. 3. "Noteikt par Latvijas dalības iemaksām OECD programmās šādas atbildīgās institūcijas" pievienot Klimata un enerģētikas ministrijas veiktās iemaksas Starptautiskajā rīcības programmā klimata jomā (</w:t>
            </w:r>
            <w:r w:rsidR="00000000" w:rsidRPr="00000000" w:rsidDel="00000000">
              <w:rPr>
                <w:i w:val="1"/>
                <w:rtl w:val="0"/>
              </w:rPr>
              <w:t xml:space="preserve">International Programme for Action on Climate</w:t>
            </w:r>
            <w:r w:rsidR="00000000" w:rsidRPr="00000000" w:rsidDel="00000000">
              <w:rPr>
                <w:rtl w:val="0"/>
              </w:rPr>
              <w:t xml:space="preserve"> (IPAC)).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Starptautiskā rīcības programma klimata jomā (</w:t>
            </w:r>
            <w:r w:rsidR="00000000" w:rsidRPr="00000000" w:rsidDel="00000000">
              <w:rPr>
                <w:i w:val="1"/>
                <w:rtl w:val="0"/>
              </w:rPr>
              <w:t xml:space="preserve">International Programme for Action on Climate</w:t>
            </w:r>
            <w:r w:rsidR="00000000" w:rsidRPr="00000000" w:rsidDel="00000000">
              <w:rPr>
                <w:rtl w:val="0"/>
              </w:rPr>
              <w:t xml:space="preserve"> (IPAC))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atbildīgā institūcija: Klimata un enerģētikas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3.punktā tabula papildināta ar 14.rindu atbilstoši Klimata un enerģētikas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par Latvijas dalības iemaksām OECD programmās šādas 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1970"/>
              <w:gridCol w:w="928"/>
              <w:tblGridChange w:id="0">
                <w:tblGrid>
                  <w:gridCol w:w="0"/>
                  <w:gridCol w:w="1970"/>
                  <w:gridCol w:w="9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Globālais forums par pārredzamību un informācijas apmaiņu nodokļu vajadzībām (</w:t>
                  </w:r>
                  <w:r w:rsidR="00000000" w:rsidRPr="00000000" w:rsidDel="00000000">
                    <w:rPr>
                      <w:sz w:val="24"/>
                      <w:i w:val="1"/>
                      <w:rtl w:val="0"/>
                    </w:rPr>
                    <w:t xml:space="preserve">Global Forum on Transparency and Exchange of Information for Tax Purposes (GFTEI)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Ilgtspējīga Lauksaimniecība un pārtikas sistēmas pētniecības sadarbības programma (</w:t>
                  </w:r>
                  <w:r w:rsidR="00000000" w:rsidRPr="00000000" w:rsidDel="00000000">
                    <w:rPr>
                      <w:sz w:val="24"/>
                      <w:i w:val="1"/>
                      <w:rtl w:val="0"/>
                    </w:rPr>
                    <w:t xml:space="preserve">Sustainable Agricalture and Food Systems (CRP)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pētniecības un inovāciju centrs (</w:t>
                  </w:r>
                  <w:r w:rsidR="00000000" w:rsidRPr="00000000" w:rsidDel="00000000">
                    <w:rPr>
                      <w:sz w:val="24"/>
                      <w:i w:val="1"/>
                      <w:rtl w:val="0"/>
                    </w:rPr>
                    <w:t xml:space="preserve">Centre for Educational Research and Innovation Governing Board (CERI)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sistēmu indikatoru programma (</w:t>
                  </w:r>
                  <w:r w:rsidR="00000000" w:rsidRPr="00000000" w:rsidDel="00000000">
                    <w:rPr>
                      <w:sz w:val="24"/>
                      <w:i w:val="1"/>
                      <w:rtl w:val="0"/>
                    </w:rPr>
                    <w:t xml:space="preserve">Indicators of Education Systems (INES)</w:t>
                  </w:r>
                  <w:r w:rsidR="00000000" w:rsidRPr="00000000" w:rsidDel="00000000">
                    <w:rPr>
                      <w:sz w:val="24"/>
                      <w:rtl w:val="0"/>
                    </w:rPr>
                    <w:t xml:space="preserve">), un tās tīkli </w:t>
                  </w:r>
                  <w:r w:rsidR="00000000" w:rsidRPr="00000000" w:rsidDel="00000000">
                    <w:rPr>
                      <w:sz w:val="24"/>
                      <w:i w:val="1"/>
                      <w:rtl w:val="0"/>
                    </w:rPr>
                    <w:t xml:space="preserve">NESLI</w:t>
                  </w:r>
                  <w:r w:rsidR="00000000" w:rsidRPr="00000000" w:rsidDel="00000000">
                    <w:rPr>
                      <w:sz w:val="24"/>
                      <w:rtl w:val="0"/>
                    </w:rPr>
                    <w:t xml:space="preserve"> un </w:t>
                  </w:r>
                  <w:r w:rsidR="00000000" w:rsidRPr="00000000" w:rsidDel="00000000">
                    <w:rPr>
                      <w:sz w:val="24"/>
                      <w:i w:val="1"/>
                      <w:rtl w:val="0"/>
                    </w:rPr>
                    <w:t xml:space="preserve">LSO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Kodi un shēmas/ sēklas (</w:t>
                  </w:r>
                  <w:r w:rsidR="00000000" w:rsidRPr="00000000" w:rsidDel="00000000">
                    <w:rPr>
                      <w:sz w:val="24"/>
                      <w:i w:val="1"/>
                      <w:rtl w:val="0"/>
                    </w:rPr>
                    <w:t xml:space="preserve">Codes and Schemes/ Seeds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pārvaldības programma (</w:t>
                  </w:r>
                  <w:r w:rsidR="00000000" w:rsidRPr="00000000" w:rsidDel="00000000">
                    <w:rPr>
                      <w:sz w:val="24"/>
                      <w:i w:val="1"/>
                      <w:rtl w:val="0"/>
                    </w:rPr>
                    <w:t xml:space="preserve">Chemicals Management Programme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administrēšanas Forums (</w:t>
                  </w:r>
                  <w:r w:rsidR="00000000" w:rsidRPr="00000000" w:rsidDel="00000000">
                    <w:rPr>
                      <w:sz w:val="24"/>
                      <w:i w:val="1"/>
                      <w:rtl w:val="0"/>
                    </w:rPr>
                    <w:t xml:space="preserve">Forum on Tax Administration (FTA)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Konvencijas par administratīvo sadarbību nodokļu jomā koordinējošā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mācību vides pētījuma programma (</w:t>
                  </w:r>
                  <w:r w:rsidR="00000000" w:rsidRPr="00000000" w:rsidDel="00000000">
                    <w:rPr>
                      <w:sz w:val="24"/>
                      <w:i w:val="1"/>
                      <w:rtl w:val="0"/>
                    </w:rPr>
                    <w:t xml:space="preserve">Programme for the Teaching and Learning International Survey (TALIS)</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transporta forums (</w:t>
                  </w:r>
                  <w:r w:rsidR="00000000" w:rsidRPr="00000000" w:rsidDel="00000000">
                    <w:rPr>
                      <w:sz w:val="24"/>
                      <w:i w:val="1"/>
                      <w:rtl w:val="0"/>
                    </w:rPr>
                    <w:t xml:space="preserve">International Transport Forum (ITF)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pieaugušo kompetenču novērtēšanas programma (</w:t>
                  </w:r>
                  <w:r w:rsidR="00000000" w:rsidRPr="00000000" w:rsidDel="00000000">
                    <w:rPr>
                      <w:sz w:val="24"/>
                      <w:i w:val="1"/>
                      <w:rtl w:val="0"/>
                    </w:rPr>
                    <w:t xml:space="preserve">Programme for the International Assessment of Adult Competencies (PIAAC)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skolēnu novērtēšanas programma  (</w:t>
                  </w:r>
                  <w:r w:rsidR="00000000" w:rsidRPr="00000000" w:rsidDel="00000000">
                    <w:rPr>
                      <w:sz w:val="24"/>
                      <w:i w:val="1"/>
                      <w:rtl w:val="0"/>
                    </w:rPr>
                    <w:t xml:space="preserve">Programme for International Student Assessment (PISA)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Vietējās ekonomikas un nodarbinātības attīstības programma (</w:t>
                  </w:r>
                  <w:r w:rsidR="00000000" w:rsidRPr="00000000" w:rsidDel="00000000">
                    <w:rPr>
                      <w:sz w:val="24"/>
                      <w:i w:val="1"/>
                      <w:rtl w:val="0"/>
                    </w:rPr>
                    <w:t xml:space="preserve">Local Economic and Employment Development (LEED)</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rīcības programma klimata jomā (International Programme for Action on Climate (IPAC))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2.punktā noteiktās atbildīgās un līdzatbildīgās institūcijas seko līdzi OECD komiteju darbam un pārstāv Latvijas intereses OECD tiesību aktu, ziņojumu un pētījumu izstrādē.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2. punkta tabula ir papildināta ar Kukuļošanas apkarošanas starptautiskajos biznesa darījumos darba grupu (tabulas 15. punkts), lūdzam papildināt rīkojuma projekta 4. punktu, norādot, ka rīkojuma 2. punktā noteiktās atbildīgās un līdzatbildīgās institūcijas seko līdzi arī Kukuļošanas apkarošanas starptautiskajos biznesa darījumos darba grupas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priekšlikumu, precizēta izmantotā terminoloģija rīkojuma 1., 2. un 4.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2.punktā noteiktās atbildīgās un līdzatbildīgās institūcijas seko līdzi OECD pārvaldības un tematisko komiteju un darba grupu darbam un pārstāv Latvijas intereses OECD tiesību aktu, ziņojumu un pētījumu izstrādē.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projekta 2. punkta tabula ir papildināta ar Kukuļošanas apkarošanas starptautiskajos biznesa darījumos darba grupu (tabulas 15. punkts), tad lūdzam anotācijā iekļaut aprakstu par to, kādēļ sarakstā, kurā ir norādītas OECD komitejas, ir iekļauta viena atsevišķa darba grupa -  Kukuļošanas apkarošanas starptautiskajos biznesa darījumos darba grupa. Iespējams papildus var norādīt arī, kur ir pieejama detalizēta informācija par minēto darba grupu un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priekšlikumu, precizēta anotācija, ietverot arī Kukuļošanas apkarošanas starptautiskajos biznesa darījumos darba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sniegt informāciju, ka rīkojuma projektā minētās institūcijas pārstāvību OECD komitejās un iemaksas OECD programmās nodrošinās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papildināts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23-TA-1839</w:t>
    </w:r>
    <w:r>
      <w:br/>
    </w:r>
    <w:r w:rsidR="00000000" w:rsidRPr="00000000" w:rsidDel="00000000">
      <w:rPr>
        <w:rtl w:val="0"/>
      </w:rPr>
      <w:t xml:space="preserve">06.06.2025. 14.03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23-TA-1839</w:t>
    </w:r>
    <w:r>
      <w:br/>
    </w:r>
    <w:r w:rsidR="00000000" w:rsidRPr="00000000" w:rsidDel="00000000">
      <w:rPr>
        <w:rtl w:val="0"/>
      </w:rPr>
      <w:t xml:space="preserve">06.06.2025. 14.03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Izziņa_23-TA-1839.docx</dc:title>
</cp:coreProperties>
</file>

<file path=docProps/custom.xml><?xml version="1.0" encoding="utf-8"?>
<Properties xmlns="http://schemas.openxmlformats.org/officeDocument/2006/custom-properties" xmlns:vt="http://schemas.openxmlformats.org/officeDocument/2006/docPropsVTypes"/>
</file>