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24-TA-2242: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mērķdotāciju sadalījumu pašvaldībām – pašvaldību izglītības iestādēm 2024.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mērķdotāciju sadalījumu pašvaldībām – pašvaldību izglītības iestādēm 2024.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2022. gada 21. jūnija noteikumu Nr. 376 “Kārtība, kādā aprēķina un sadala valsts budžeta mērķdotāciju pedagogu darba samaksai pašvaldību vispārējās izglītības iestādēs un valsts augstskolu vispārējās vidējās izglītības iestādēs” (turpmāk – MK noteikumi Nr.376) 25.punktu, 2024./2025. un 2025./2026. mācību gadā tiek aprēķināts salīdzinot ar iepriekšējiem gadiem samazināts (1% apmērā, iepriekšējos gados -  2%) papildu finansējums tām pašvaldībām, kuru vidējā skolēnu un skolotāju skaita attiecība iepriekšējā gada 15. oktobrī ir vienāda vai lielāka par vidējo skolēnu un skolotāju skaita attiecību valstī pašvaldību vispārizglītojošās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aicina izvērtēt iespēju steidzami veikt grozījumus Ministru kabineta 2022. gada 21. jūnija noteikumu Nr. 376 “Kārtība, kādā aprēķina un sadala valsts budžeta mērķdotāciju pedagogu darba samaksai pašvaldību vispārējās izglītības iestādēs un valsts augstskolu vispārējās vidējās izglītības iestādēs” (turpmāk - MK noteikumi Nr.376), nosakot, ka līdz jaunā finansēšanas modeļa “Programma skolā” ieviešanai visām pašvaldībām, kuru vidējā skolēnu un skolotāju skaita attiecība iepriekšējā gada 15. oktobrī ir vienāda vai lielāka par vidējo skolēnu un skolotāju skaita attiecību valstī pašvaldību vispārizglītojošās skolās, Ministrija aprēķina papildu finansējumu 2 procentu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atgādina, ka jau MK noteikumu Nr.376 izstrādes procesā iebildām pret to apstiprināšanu kopumā, jo tajos netika novērstas valsts mērķdotāciju pedagogu darba samaksas aprēķinu un sadales nepilnības, tajā skaitā MK noteikumu Nr.376 25.punktā norādītā kritērija nepilnības. MK noteikumu Nr.376 nepārdomāta virzīšana apstiprināšanai bija viens no 2022.gadā LIZDA organizētā piketa iemesliem.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aprēķinot valsts budžeta mērķdotāciju pašvaldību vispārizglītojošo skolu pedagogu darba samaksai no 2024. gada 1. septembra, ņem vērā MK noteikumos Nr. 376 noteikto līdz jaunā pedagogu darba samaksas finansēšanas modeļa “Programma skolā”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376 ir spēkā no 2022. gada  un to nosacījumi ir zināmi kopš to pieņemšanas brīža, tajos  ir piemērots pārejas periods pedagogu darba samaksas aprēķinā pašvaldībām četrus mācību gadus, t.i. 2022./2023., 2023./2024., 2024./2025. un 2025./2026. mācību gadā, piešķirot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376 25. punktā noteikts, ka ministrija aprēķina </w:t>
            </w:r>
            <w:r w:rsidR="00000000" w:rsidRPr="00000000" w:rsidDel="00000000">
              <w:rPr>
                <w:i w:val="1"/>
                <w:rtl w:val="0"/>
              </w:rPr>
              <w:t xml:space="preserve">papildu finansējumu </w:t>
            </w:r>
            <w:r w:rsidR="00000000" w:rsidRPr="00000000" w:rsidDel="00000000">
              <w:rPr>
                <w:rtl w:val="0"/>
              </w:rPr>
              <w:t xml:space="preserve">tām pašvaldībām, kuru vidējā skolēnu un skolotāju skaita attiecība iepriekšējā gada 15. oktobrī ir vienāda vai lielāka par vidējo skolēnu un skolotāju skaita attiecību valstī pašvaldību vispārizglītojošās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1. septembra līdz 2024. gada 31. augustam 2 % apmērā no pašvaldībai aprēķinātā finansējuma pašvaldību vispārizglītojošo skolu pedagogu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1. septembra līdz 2026. gada 31. augustam 1 % apmērā no pašvaldībai aprēķinātā finansējuma pašvaldību vispārizglītojošo skolu pedagogu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2022.gadā tika iestrādāti nosacījumi, kas pakāpeniski mazina fiskālo plaisu, kura bija izveidojusies starp pašvaldību finansējumiem pedagogu darba samaksai starp skaitliski lielajām un mazajām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mērķdotāciju sadalījumu pašvaldībām – pašvaldību izglītības iestādēm 2024. gadam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24-TA-2242</w:t>
    </w:r>
    <w:r>
      <w:br/>
    </w:r>
    <w:r w:rsidR="00000000" w:rsidRPr="00000000" w:rsidDel="00000000">
      <w:rPr>
        <w:rtl w:val="0"/>
      </w:rPr>
      <w:t xml:space="preserve">30.09.2024. 10.51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24-TA-2242</w:t>
    </w:r>
    <w:r>
      <w:br/>
    </w:r>
    <w:r w:rsidR="00000000" w:rsidRPr="00000000" w:rsidDel="00000000">
      <w:rPr>
        <w:rtl w:val="0"/>
      </w:rPr>
      <w:t xml:space="preserve">30.09.2024. 10.51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Izziņa_24-TA-2242.docx</dc:title>
</cp:coreProperties>
</file>

<file path=docProps/custom.xml><?xml version="1.0" encoding="utf-8"?>
<Properties xmlns="http://schemas.openxmlformats.org/officeDocument/2006/custom-properties" xmlns:vt="http://schemas.openxmlformats.org/officeDocument/2006/docPropsVTypes"/>
</file>