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22-TA-3727: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 – 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4.3.1.2. pasākuma "Pakalpojumu kvalitātes un pieejamības uzlabošana, tuvinot valsts sociālās aprūpes centru filiāles kopienā sniegtajiem (ģimeniskai videi pietuvinātiem) pakalpojumiem"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4.3.1. specifiskā atbalsta mērķa "Veicināt sociāli atstumto kopienu, migrantu un nelabvēlīgā situācijā esošo grupu sociāli ekonomisko integrāciju, izmantojot integrētus pasākumus, tostarp mājokļu un sociālo pakalpojumu jomā" 4.3.1.2. pasākuma "Pakalpojumu kvalitātes un pieejamības uzlabošana, tuvinot valsts sociālās aprūpes centru filiāles kopienā sniegtajiem (ģimeniskai videi pietuvinātiem) pakalpojumiem"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nosaukumu, atbilstoši Eiropas Savienības kohēzijas politikas programmā 2021.–2027.gadam apstiprinātajam.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4.3.1.2. pasākuma "Pakalpojumu kvalitātes un pieejamības uzlabošana, tuvinot valsts sociālās aprūpes centru filiāles kopienā sniegtajiem (ģimeniskai videi pietuvinātiem) pakalpojumiem"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un/vai anotāciju ar informāciju par 4.3.1.2. pasākuma ieguldījumu sinerģiju, papildinātību ar ES un citiem atbalsta instrumentiem, piemēram, Atveseļošanas un noturības mehānisma investīcijām, norādot, kā tiks nodrošināta demarkācija un dubultfinansējuma riska novēršana gadījumos, kad no dažādiem finanšu avotiem tiks atbalstītas vienas un tās pašas vai līdzīgas atbalstāmās darbības, piemēram ar 3.1.2.3.i. "Ilgstošas sociālās aprūpes pakalpojuma noturība un nepārtrauktība: jaunu ģimeniskai videi pietuvinātu aprūpes institūciju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Programmas 4.3.1. SAM aprakstā ir minēta sinerģija ar 4.3.5. SAM, ka pēc ERAF ieguldījumu veikšanas plānoti secīgi ESF+ ieguldījumi izveidoto sociālo pakalpojumu sniedzēju speciālistu apmācībai sabiedrībā balstītu un ģimeniskai videi pietuvinātu pakalpojumu sniegšanai, sabiedrībā balstītu sociālo pakalpojumu sniegšanai jaunizveidotajā infrastruktūrā un sniegto pakalpojumu kvalitātes novērtēšanai.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informāciju, ka 4.3.1.2. pasākumam nav tiešas sinerģijas vai tiešas demarkācijas ar kādu  ES fondu pasākumu vai Atveseļošanas fonda investīciju, bet ir papildinoša pazīme ar Atveseļošanas fonda 3.1.2.3.i. investīciju "Ilgstošas sociālās aprūpes pakalpojuma noturība un nepārtrauktība: jaunu ģimeniskai videi pietuvinātu aprūpes pakalpojumu sniedzēju attīstība pensijas vecuma personām", kā arī ir iespējamas mācības ES fondu sociālā darba attīstības 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noteikumu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līdz 2024. gada 31. decembrim – nacionālais rādītājs – izvēlētas un saskaņotas vietas jaunu vai modernizētu sociālās aprūpes iestāžu izveidei – 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ka rādītājs "izvēlētas un saskaņotas vietas jaunu vai modernizētu sociālās aprūpes iestāžu izveidei" ir "iznākuma rādītājs", nevis "nacionālais rādītājs", ņemot vērā, ka tas ir Programmā apstiprināts.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šim rādītājam norādīt arī līdz 2029. gada 31. decembrim sasniedzamo vērtību, atbilstoši Programmā apstiprinātam - 10.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līdz 2024. gada 31. decembrim – iznākuma rādītājs – izvēlētas un saskaņotas vietas jaunu vai modernizētu sociālās aprūpes iestāžu izveidei – 10;</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Pasākuma ietvaros plāno šādas attiecināmās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iespējami plašāku vienkāršoto izmaksu piemērošanu. Ja piemērot vienkāršotās izmaksas nav iespējams, lūdzam sniegt argumentētu pamatojumu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Pasākuma ietvaros plāno šādas attiecināmās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attiecināmās personāla atlīdzības izmaksas – projekta vadības un īstenošanas personāla atlīdzības izmaksas, izņemot virsstundas. Ja personāla iesaiste projektā ir nodrošināta saskaņā ar daļlaika izmaksu attiecināmības principu, attiecināma ir ne mazāka kā 30 procentu noslodze. Ja personāls ir nodarbināts nepilnu darba laiku, atlīdzības izmaksas nosakāmas atbilstoši nepilnā darba laika noslodzei. Personāla atlīdzības izmaksām jābūt atbilstošām finansējuma saņēmēja iestādes atlīdzības sistēmā noteiktajai samaksai par līdzvērtīga darba veikšanu vai atbilstošām vidējai darba samaksai pēc Latvijas Republikas Centrālās statistikas pārvaldes datiem par līdzvērtīgu darbu attiecīgajā nozarē;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sniegto iebildumu un lūdzam personāla izmaksas paredzēt kā vienkāršotās izmaksas. Attiecīgi projekta vadības un īstenošanas personāla izmaksām piemērojot Regulas Nr.2021/1060 55. panta 1.punktā noteikto iespēju, tas ir  izmantot līdz 20% (konkrēts % ir jāsaskaņo ar vadošo iestādi) vienoto likmi, ņemot vērā, ka tās piemērošana nav ierobežojoša un samazinās administratīvo slogu visiem iesaistītajiem.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vienotās likmes piemērošana nav iespējama, lūdzam piemērot citu vienkāršoto izmaksu veidu, attiecīgi izstrādājot metodiku un saskaņojot to ar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4.3.1.2. pasākums ir ātrāk uzsākamais ES fondu pasākums, kura īstenošanas nosacījumi tika izstrādāti un iekļauti informatīvajā ziņojumā, kas pieņemts 11.01.2022. MK sēdē. Skat. https://tapportals.mk.gov.lv/legal_acts/f8556343-bb96-43fe-86b8-db9b42b541ab.  Projekta īstenošana ir uzsākta un, atbilstoši informatīvajā ziņojumā noteiktajam, izmaksas ir attiecināmas no 01.12.2022. Projekta vadībā un īstenošanā iesaistītais personāls  šobrīd īsteno darbības, lai apzinātu un izvērtētu potenciālās projekta īstenošanas vietas, kur veidot ģimeniskai videi pietuvinātu pakalpojumu ārpusģimenes aprūpē esošajiem bērniem. Tās lielā pārsvarā ir personāla atlīdzības izmaksas, ko finansējuma saņēmējs šobrīd sedz no sava budžeta līdzekļiem un varētu atgūt ar pirmo maksājuma pieprasījumu, ko iesniegtu pēc MK noteikumu apstiprināšanas un tam sekojošas projekta atlases norises un līguma par projekta īstenošanu noslēgšanas, kas vienotās likmes gadījumā nebūtu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4.3.1.2. pasākuma ietvaros ir plānoti finansiāli ietilpīgi infrastruktūras ieguldījumi un tādos gadījumos projekta izmaksas ir atkarīgas no paveiktajiem darbiem un nav vienmērīgas attiecībā uz noteiktu laika posmu. Ja personāla atlīdzībai tiktu piemērots vienkāršoto izmaksu veids, kuram atmaksu veiktu, iesniedzot maksājuma pieprasījumu par pārējām 4.3.1.2. pasākuma attiecināmajām izmaksām, var veidoties situācija, kad ilgstošākā laika periodā nav pamatojuma iesniegt maksājuma pieprasījumu, kā rezultātā finansējuma saņēmējam tikpat ilgstoši nav iespējams atgūt arī personāla atlīdzības nodrošināšanai izmantotos pašu budžeta līdzekļus. Turklāt finansējuma saņēmējam ir ierobežoti pašu līdzekļi, ko ilgākā laika posmā ieguldīt projekta personāla izmaksu segšanai. VSIA "Šampētera nams" sev deleģētos uzdevumus īsteno LM piešķirtā valsts budžeta ietvaros pēc tekošo pārvaldīšanas darbu un tiem nepieciešamā finansējuma saskaņošanas. Tādējādi, ilgstošākā laika periodā projekta personāla izmaksām izmantojot LM finansējumu, kas piešķirts pārvaldīšanas darbu veikšanai, var veidoties finansiāls risks pamatdarbības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attiecināmās personāla izmaksas – projekta vadības un īstenošanas personāla  izmaksas, izņemot virsstundas. Ja personāla iesaiste projektā ir nodrošināta saskaņā ar daļlaika izmaksu attiecināmības principu, attiecināma ir ne mazāka kā 30 procentu noslodze. Ja personāls ir nodarbināts nepilnu darba laiku, izmaksas nosakāmas atbilstoši nepilnā darba laika noslodzei. Personāla atlīdzības izmaksām jābūt atbilstošām finansējuma saņēmēja iestādes atlīdzības sistēmā noteiktajai samaksai par līdzvērtīga darba veikšanu vai atbilstošām vidējai darba samaksai pēc Latvijas Republikas Centrālās statistikas pārvaldes datiem par līdzvērtīgu darbu attiecīgajā nozarē;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attiecināmās personāla atlīdzības izmaksas – projekta vadības un īstenošanas personāla atlīdzības izmaksas, tai skaitā veselības apdrošināšanas izmaksas un redzes korekcijas līdzekļu kompensācijas izmaksas, izņemot virsstundas. Ja personāla iesaiste projektā ir nodrošināta saskaņā ar daļlaika izmaksu attiecināmības principu, attiecināma ir ne mazāka kā 30 procentu noslodze. Ja personāls ir nodarbināts nepilnu darba laiku, atlīdzības izmaksas nosakāmas atbilstoši nepilnā darba laika noslodzei. Personāla atlīdzības izmaksām jābūt atbilstošām finansējuma saņēmēja iestādes atlīdzības sistēmā noteiktajai samaksai par līdzvērtīga darba veikšanu vai atbilstošām vidējai darba samaksai pēc Latvijas Republikas Centrālās statistikas pārvaldes datiem par līdzvērtīgu darbu attiecīgajā nozarē;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vadības un īstenošanas personāla atlīdzības izmaksām piemērot Regulas Nr.2021/1060 55. panta 1.punktā noteikto iespēju, tas ir  izmantot līdz 20% vienoto likmi, ņemot vērā, ka tas samazinās administratīvo slogu visiem iesaistītajiem.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vienotās likmes piemērošana nav iespējama, lūdzam piemērot citu vienkāršoto izmaksu veidu, attiecīgi izstrādājot metodiku un saskaņojot to ar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dzēst vārdus: "tai skaitā veselības apdrošināšanas izmaksas un redzes korekcijas līdzekļu kompensācijas izmaksas", tā kā izmaksu tvērums ir noteikts VI vadlīnijās Nr. 1.2. "Vadlīnijas attiecināmo izmaksu noteikšanai Eiropas Savienības kohēzijas politikas programmas 2021.-2027.gada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sniedzot skaidrojumu par vienkāršoto izmaksu piemērošanu 4.3.1.2. pasākuma īstenošanā.  Attiecībā uz citu vienkāršoto izmaksu veidu piemērošanu projekta vadības un īstenošanas personāla atlīdzības izmaksām šobrīd nav pietiekami pamatotu datu, lai izstrādātu, piemēram, vienas vienības metodiku. Turklāt Finanšu ministrijas – vadošās iestādes vadlīnijas “Vadlīnijas attiecināmo izmaksu noteikšanai 2021. - 2027. gada plānošanas periodā” jau nosaka projekta vadības personāla atlīdzības ierobežojumu ERAF projektos, kurā finansējuma saņēmējam jāiekļaujas. Tāpēc papildu vēl vienkāršoto izmaksu piemērošana būtu mākslīga izmaksu noteikšana jau noteiktu ierobežojumu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noteikumu projekta 16.1. apakšpunkta redakcija precizēta atbilstoši izteiktajam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attiecināmās personāla izmaksas – projekta vadības un īstenošanas personāla  izmaksas, izņemot virsstundas. Ja personāla iesaiste projektā ir nodrošināta saskaņā ar daļlaika izmaksu attiecināmības principu, attiecināma ir ne mazāka kā 30 procentu noslodze. Ja personāls ir nodarbināts nepilnu darba laiku, izmaksas nosakāmas atbilstoši nepilnā darba laika noslodzei. Personāla atlīdzības izmaksām jābūt atbilstošām finansējuma saņēmēja iestādes atlīdzības sistēmā noteiktajai samaksai par līdzvērtīga darba veikšanu vai atbilstošām vidējai darba samaksai pēc Latvijas Republikas Centrālās statistikas pārvaldes datiem par līdzvērtīgu darbu attiecīgajā nozarē;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16.2.2. žūrijas komisijas darbības un atlīdzības un godalgu izmaksas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minētās projekta īstenošanu pamatojošās dokumentācijas izstrādei;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izvērstu un pamatotu skaidrojumu par noteikumu projekta 16.2.2. punktā un 18.2. apakšpunktā noteikto žūrijas komisijas darbību un atlīdzības, un godalgu izmaksu, kas tiek noteiktas kā tiešās attiecināmās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 darba vietas aprīkojuma iegādei vai nomai, tai skaitā aprīkojuma uzturēšanai un remontam, finansējuma saņēmēja projekta īstenošanas un vadības personālam jaunu darba vietu radīšanai vai esošo darba vietu atjaunošanai ne vairāk kā 3 000 </w:t>
            </w:r>
            <w:r w:rsidR="00000000" w:rsidRPr="00000000" w:rsidDel="00000000">
              <w:rPr>
                <w:i w:val="1"/>
                <w:rtl w:val="0"/>
              </w:rPr>
              <w:t xml:space="preserve">euro</w:t>
            </w:r>
            <w:r w:rsidR="00000000" w:rsidRPr="00000000" w:rsidDel="00000000">
              <w:rPr>
                <w:rtl w:val="0"/>
              </w:rPr>
              <w:t xml:space="preserve"> apmērā vienai darba vietai visā projekta īstenošanas laikā. Ja personāls ir nodarbināts normālu darba laiku, darba vietas aprīkojuma iegādes vai nomas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Finanšu ministrijas vadlīniju Nr.1.2. "Vadlīnijas attiecināmo izmaksu noteikšanai Eiropas Savienības kohēzijas politikas programmas 2021.-2027.gada plānošanas periodā" 9.1.apakšpunktu, lūdzam vārdus "vai esošo darba vietu atjaunošanai" aizstāt ar vārdiem "vai gadījumā, ja esošo darba vietu aprīkojums ir nolietojies un tiek norakstīts";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Vienlaikus lūdzam anotāciju papildināt ar skaidrojumu, ka tiks vērtēts aprīkojuma iegādes samērīgums attiecībā uz darbiniekiem, kuriem tiek piemērots daļlaika noslodzes princips.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 darba vietas aprīkojuma iegādei vai nomai, tai skaitā aprīkojuma uzturēšanai un remontam, finansējuma saņēmēja projekta īstenošanas un vadības personālam jaunu darba vietu radīšanai </w:t>
            </w:r>
            <w:r w:rsidR="00000000" w:rsidRPr="00000000" w:rsidDel="00000000">
              <w:rPr>
                <w:shd w:fill="#f1c40f" w:val="clear"/>
                <w:rtl w:val="0"/>
              </w:rPr>
              <w:t xml:space="preserve">vai gadījumā, ja esošo darba vietas aprīkojums ir nolietojies un tiek norakstīts,</w:t>
            </w:r>
            <w:r w:rsidR="00000000" w:rsidRPr="00000000" w:rsidDel="00000000">
              <w:rPr>
                <w:rtl w:val="0"/>
              </w:rPr>
              <w:t xml:space="preserve"> ne vairāk kā 3 000 euro apmērā vienai darba vietai visā projekta īstenošanas laikā. Ja personāls ir nodarbināts normālu darba laiku, darba vietas aprīkojuma iegādes vai nomas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18.5.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paredzot darba vietas aprīkojuma izmaksas darbiniekiem, kuriem ir daļlaika noslodze, tiks ievērots Vadlīniju Nr.1.2. “Vadlīnijas attiecināmo izmaksu noteikšanai Eiropas Savienības kohēzijas politikas programmas 2021. – 2027.gada plānošanas periodā” 33. punktā noteiktais par nodarbinātā iesaistes periodu projektā pret projekta kopējo īstenošanas ilgumu. Ar minēto informāciju papildināta noteikumu projekta anotācija. Tiešu darba vietas aprīkojuma izmaksu samērīguma vērtēšanu pret daļlaika noslodzi minētās vadlīnijas neparedz.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 darba vietas aprīkojuma iegādei vai nomai, tai skaitā aprīkojuma uzturēšanai un remontam, finansējuma saņēmēja projekta īstenošanas un vadības personālam jaunu darba vietu radīšanai vai gadījumā, ja esošo darba vietas aprīkojums ir nolietojies un tiek norakstīts, ne vairāk kā 3 000 </w:t>
            </w:r>
            <w:r w:rsidR="00000000" w:rsidRPr="00000000" w:rsidDel="00000000">
              <w:rPr>
                <w:i w:val="1"/>
                <w:rtl w:val="0"/>
              </w:rPr>
              <w:t xml:space="preserve">euro</w:t>
            </w:r>
            <w:r w:rsidR="00000000" w:rsidRPr="00000000" w:rsidDel="00000000">
              <w:rPr>
                <w:rtl w:val="0"/>
              </w:rPr>
              <w:t xml:space="preserve"> apmērā vienai darba vietai projekta īstenošanas laikā. Ja personāls ir nodarbināts normālu darba laiku, darba vietas aprīkojuma iegādes vai nomas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Pievienotās vērtības nodoklis, kas tiešā veidā saistīts ar projektu, uzskatāms par attiecināmām izmaksām saskaņā ar Eiropas Parlamenta un Padomes regulas (ES) Nr.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apakšpunktā ietvertajiem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kopējās izmaksas ir virs 5 milj. EUR, lūdzam MK noteikumu 21.punktā skaidri papildināt ar nosacījumu "ja vien tas nav atgūstams saskaņā ar valsts tiesību aktiem nodokļu jomā" (kā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Pievienotās vērtības nodoklis, kas tiešā veidā saistīts ar projektu, uzskatāms par attiecināmām izmaksām saskaņā ar Eiropas Parlamenta un Padomes regulas (ES) Nr.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apakšpunktā ietvertajiem nosacījumiem</w:t>
            </w:r>
            <w:r w:rsidR="00000000" w:rsidRPr="00000000" w:rsidDel="00000000">
              <w:rPr>
                <w:shd w:fill="#f1c40f" w:val="clear"/>
                <w:rtl w:val="0"/>
              </w:rPr>
              <w:t xml:space="preserve">, ja vien tas nav atgūstams saskaņā ar valsts tiesību aktiem nodokļu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Pievienotās vērtības nodoklis, kas tiešā veidā saistīts ar projektu, uzskatāms par attiecināmām izmaksām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apakšpunktā ietvertajiem nosacījumiem, ja vien tas nav atgūstams saskaņā ar normatīvajiem aktiem nodokļu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Pasākuma ietvaros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 atbalstāmo darbību izmaksu veikšanai sadarbības iestāde finansējuma saņēmējam veic avansa un starpposma maksājumus atbilstoši normatīvajiem aktiem par valsts budžeta līdzekļu plānošanas kārtību Eiropas Savienības fondu projektu īstenošanai un maksājumu veikšanai 2021. – 2027. gada plānošanas periodā, nodrošinot avansa un starpposma maksājumu kopsummu 100 procentu apmērā no projekta apstiprinātā kopējā attiecināmā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22.punktu, nosakot kārtību, kādā jāizlieto piešķirtais avansa apmērs un viena avansa maksājuma procentuālo apmēru. Papildus lūdzam sniegt anotācijā izvērstu skaidrojumu par nepieciešamību noteikt avansa un starpposma maksājumu kopsummu 100 procentu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23.punkts, ievērojot MK 25.04.2023. noteikumos Nr. 205 "Valsts budžeta līdzekļu plānošanas kārtība Eiropas Savienības fondu projektu īstenošanai un maksājumu veikšanai 2021.–2027. gada plānošanas periodā" (turpmāk - MK noteikumi Nr. 205) noteikto par normatīvajā aktā par specifiskā atbalsta mērķa īstenošanu ietveramajiem nosacījumiem, t.sk. nedublējot citā normatīvā aktā ietvertos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4.3.1.2. pasākuma projekts ir ātrāk uzsākamais projekts, kuram saskaņā 11.01.2022. apstiprināto MK Informatīvo ziņojumu par Eiropas Savienības Kohēzijas politikas programmas 2021. – 2027. gadam 4.3.1. specifiskā atbalsta mērķa "Veicināt sociāli atstumto kopienu, migrantu un nelabvēlīgā situācijā esošo grupu sociāli ekonomisko integrāciju, izmantojot integrētus pasākumus, tostarp mājokļu un sociālo pakalpojumu jomā" 4.3.1.2. pasākuma "Pakalpojumu kvalitātes un pieejamības uzlabošana, tuvinot valsts sociālās aprūpes centru filiāles kopienā sniegtajiem (ģimeniskai videi pietuvinātiem) pakalpojumiem" izmaksas var uzskatīt par attiecināmām no 01.12.2021. Ņemot vērā, ka ERAF fondu finansējums 4.3.1.2. pasākuma projekta darbību īstenošanai būs pieejams tikai pēc līguma par projekta īstenošanu noslēgšanas ar sadarbības iestādi, līdzšinēji projekta darbību īstenošanai ir novirzīti finansējuma saņēmēja finanšu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jau ir uzsākta vairāku atbalstāmo darbību īstenošana, tostarp apzinātas, apsekotas, izvērtētas vairākas pašvaldību un valsts kapitālsabiedrību piedāvātās vietas bērnu ĢVPP infrastruktūras izveidei. Turpmākajā projekta īstenošanā sekos tādu finansiāli ietilpīgu atbalstāmo darbību, kā projektēšana un būvniecība īstenošana. Tā kā finansējuma saņēmējam - LM kapitālsabiedrībai "Šampētera nams" arī savas pamatdarbības ietvaros veicamie darba uzdevumi ir finansiāli ietilpīgi, lai nodrošinātu projekta finansēšanas nepārtrauktību un mazinātu risku, ka finansējuma saņēmējam varētu veidoties nepietiekama finanšu kapacitāte, 4.3.1.2. pasākumā paredzēta avansa un starpposma maksājuma kopsumma 100% apmērā. Ar minēto skaidrojumu papildināta MK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atbilst arī MK noteikumu Nr. 205 17. punktā noteiktajam, jo LM kapitālsabiedrība "Šampētera nams" 4.3.1.2. pasākuma ietvaros īsteno valsts pārvaldes uzdevumu (skaidrojums sniegts noteikumu projekta anotācijas 1.3. sadaļā “Risinājuma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Pasākuma ietvaros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 atbalstāmo darbību izmaksu veikšanai sadarbības iestāde finansējuma saņēmējam veic avansa un starpposma maksājumus atbilstoši normatīvajiem aktiem, kas nosaka valsts budžeta līdzekļu plānošanas kārtību Eiropas Savienības fondu projektu īstenošanai un maksājumu veikšanai 2021. – 2027. gada plānošanas periodā, nodrošinot avansa un starpposma maksājumu kopsummu 100 procentu apmērā no projekta apstiprinātā kopējā attiecināmā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27.3. ievēro sabiedrības vajadzībām nepieciešamā nekustamā īpašuma atsavināšanas likumā noteikto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27.3. apakšpunkts paredz, ka, īstenojot noteikumu 14.3. apakšpunktā minētā nekustamā īpašuma iegādi, finansējuma saņēmējs (proti, VSIA "Šampētera nams", kas ir privātpersona) ievēro sabiedrības vajadzībām nepieciešamā nekustamā īpašuma atsavināšanas likumā noteikto kārtību. Lūdzam anotācijā skaidrot minētās prasības nepieciešamību, tostarp skaidrot, vai, ņemot vērā normas formulējumu, visos gadījumos plānots nekustamā īpašuma iegādi veikt atbilstoši minētajam likumam. Kā arī lūdzam izvērtēt un pamatot vai svītrot, vai precizēt minēto prasību, ņemot vērā, ka saskaņā ar minētā likuma 3.pantu nekustamā īpašuma atsavināšanu sabiedrības vajadzībām </w:t>
            </w:r>
            <w:r w:rsidR="00000000" w:rsidRPr="00000000" w:rsidDel="00000000">
              <w:rPr>
                <w:u w:val="single"/>
                <w:rtl w:val="0"/>
              </w:rPr>
              <w:t xml:space="preserve">ierosina un veic valsts pārvaldes iestāde vai pašvaldība</w:t>
            </w:r>
            <w:r w:rsidR="00000000" w:rsidRPr="00000000" w:rsidDel="00000000">
              <w:rPr>
                <w:rtl w:val="0"/>
              </w:rPr>
              <w:t xml:space="preserve">, kuras kompetencē ir attiecīgo sabiedrības vajadzību nodrošināšana. Attiecīgi lūdzam sniegt skaidrojumu anotācijā un nepieciešamības gadījumā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arī finansējuma saņēmējs VSIA "Šampētera nams" ir uzskatāma par privāto tiesību juridisko personu, 4.3.1.2. pasākuma projekta ietvaros tā veic valsts pārvaldes uzdevumu saskaņā ar Sociālo pakalpojumu un sociālās palīdzības likuma 9.</w:t>
            </w:r>
            <w:r w:rsidR="00000000" w:rsidRPr="00000000" w:rsidDel="00000000">
              <w:rPr>
                <w:vertAlign w:val="superscript"/>
                <w:rtl w:val="0"/>
              </w:rPr>
              <w:t xml:space="preserve">1</w:t>
            </w:r>
            <w:r w:rsidR="00000000" w:rsidRPr="00000000" w:rsidDel="00000000">
              <w:rPr>
                <w:rtl w:val="0"/>
              </w:rPr>
              <w:t xml:space="preserve"> panta trešajā daļā noteikto, ka LM valdījumā esošos valsts nekustamos īpašumus, kuri nepieciešami  valsts finansēto ilgstošas sociālās aprūpes un sociālās rehabilitācijas institūciju pakalpojumu nodrošināšanai, pārvalda VSIA "Šampētera nams". Ar minēto likuma normu VSIA "Šampētera nams" ir uzdots uzdevums izveidot un pārvaldīt nekustamo īpašumu infrastruktūru, kas nepieciešama valsts finansēto ilgstošas sociālās aprūpes un sociālās rehabilitācijas institūciju (VSAC) pakalpojumu, tostarp arī bērnu ĢVPP, sniegšanas nodrošināšanai. Papildus skaidrojam, ka nekustamais īpašums bērnu ĢVPP sniegšanai tiks nostiprināts Zemesgrāmatā uz LM vārda. Ņemot vērā minēto, nekustamā īpašuma iegādes gadījumā VSIA "Šampētera nams" visas nepieciešamās darbības īstenos LM uzdevumā, bet nekustamā īpašuma atsavināšanu sabiedrības vajadzībām rosinās un MK iesniegs LM.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4.3.1.2. pasākuma projektā lielākais ieguldījumu uzsvars tiek vērsts uz būvdarbiem, bet nekustamā īpašuma iegāde tiks apsvērta kā risinājums gadījumā, ja neizdodas atrast bērnu ĢVPP infrastruktūras izveidei piemērotu zemes platību. Ņemot vērā minēto, noteikumu projektā ir noteikts ierobežojums nekustamā īpašuma iegādei - līdz 10% no projekta attiecināmajām izmaksām.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minēto skaidrojumu papildināta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27.3. ievēro attiecīgi publiskas personas mantas atsavināšanas likumā vai sabiedrības vajadzībām nepieciešamā nekustamā īpašuma atsavināšanas likumā noteikto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nodibina civildienesta vai darba tiesiskās attiecības ar projekta vadības un īstenošanas personālu un, paredzot tam atlīdzības izmaksas, nodrošina, ka šis personāls tiek nodarbināts normālu vai nepilnu darba laiku, tai skaitā atlīdzībai var piemērot daļlaika izmaksu attiecināmības principu. Ja personāla atlīdzībai piemēro daļlaika izmaksu attiecināmības principu, veic personāla darba laika uzskaiti par nostrādāto laiku un veiktajām funkcijām;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finansējuma saņēmējs ir VSIA "Šampētera nams", kas ir privātpersona, lūdzam precizēt projekta 30.1. apakšpunktu, svītrojot norādi uz civildienestu. Saskaņā ar Valsts civildienesta likuma 3. panta pirmo daļu valsts civildienesta ierēdnis ir persona, kas </w:t>
            </w:r>
            <w:r w:rsidR="00000000" w:rsidRPr="00000000" w:rsidDel="00000000">
              <w:rPr>
                <w:u w:val="single"/>
                <w:rtl w:val="0"/>
              </w:rPr>
              <w:t xml:space="preserve">tiešās valsts pārvaldes iestādē</w:t>
            </w:r>
            <w:r w:rsidR="00000000" w:rsidRPr="00000000" w:rsidDel="00000000">
              <w:rPr>
                <w:rtl w:val="0"/>
              </w:rPr>
              <w:t xml:space="preserve"> veido nozares politiku vai attīstības stratēģiju, koordinē nozares darbību, sadala vai kontrolē finanšu resursus, izstrādā normatīvos aktus vai kontrolē to ievērošanu, sagatavo vai izdod administratīvos aktus, sagatavo vai pieņem citus ar indivīda tiesībām saistītus lēmumus. Turklāt anotācijā minēts, ka: "</w:t>
            </w:r>
            <w:r w:rsidR="00000000" w:rsidRPr="00000000" w:rsidDel="00000000">
              <w:rPr>
                <w:i w:val="1"/>
                <w:rtl w:val="0"/>
              </w:rPr>
              <w:t xml:space="preserve">Projekta vadības un īstenošanas personālu var piesaistīt gan uz darba tiesisko attiecību pamata, gan arī noslēdzot uzņēmuma (pakalpojuma) līgumu</w:t>
            </w:r>
            <w:r w:rsidR="00000000" w:rsidRPr="00000000" w:rsidDel="00000000">
              <w:rPr>
                <w:rtl w:val="0"/>
              </w:rPr>
              <w:t xml:space="preserve">." Attiecīgi lūdzam salāgot projektā paredzēto regulējumu ar anotācijā minēto, veicot attiecīgus precizējumus projektā vai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 atbilstoši izteiktajam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nodibina darba tiesiskās attiecības ar projekta vadības un īstenošanas personālu un, paredzot tam atlīdzības izmaksas, nodrošina, ka šis personāls tiek nodarbināts normālu vai nepilnu darba laiku, tai skaitā atlīdzībai var piemērot daļlaika izmaksu attiecināmības principu. Ja personāla atlīdzībai piemēro daļlaika izmaksu attiecināmības principu, veic personāla darba laika uzskaiti par nostrādāto laiku un veiktajām funkcijām;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 piesaista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 atbalstāmo darbību īstenošanai nepieciešamo personālu vai īsteno publiskos iepirkumus, nodrošinot, ka projekta īstenošanas laikā tiek ievēroti interešu konflikta, korupcijas un krāpšanas novēršanas nosacījumi, vismaz paredzot, ka projekta vadībā un īstenošanā iesaistītais personāls un iepirkumu līgumu izpildītāji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papildinātu noteikumu projekta 30.4. apakšpunktu, minētos pienākumus un darbības attiecinot arī uz sadarbības partneriem.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 piesaista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 atbalstāmo darbību īstenošanai nepieciešamo personālu, slēdz sadarbības līgumus ar sadarbības partneriem vai īsteno publiskos iepirkumus, nodrošinot, ka projekta īstenošanas laikā tiek ievēroti interešu konflikta, korupcijas un krāpšanas novēršanas nosacījumi, vismaz paredzot, ka projekta vadībā un īstenošanā iesaistītais personāls, sadarbības partnera personāls, kas iesaistīts projekta īstenošanā un iepirkumu līgumu izpildītāji 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30.14. nodrošina projekta rezultātu ilgtspēju vismaz piecus gadus pēc noslēguma maksājuma veikšanas finansējuma saņēmējam, izmantojot valsts budžeta finansējumu atbilstoši normatīvajam aktam par maksimāli pieļaujamā valsts budžeta izdevumu kopapjoma un  katrai ministrijai un citai centrālajai valsts iestādei paredzētā izdevumu kopējā apjoma noteikšanas kārtību vidējam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30.14.apakšpunktā svītrot tekstu aiz vārdiem “pēc noslēguma maksājuma veikšanas finansējuma saņēmējam”, jo nav jādublē normas, kas noteiktas spēkā esošajos normatīvajos aktos par valsts budžeta plānošanu.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30.14. nodrošina projekta rezultātu ilgtspēju vismaz piecus gadus pēc noslēguma maksājuma veikšanas finansējuma saņēmējam, izmantojot valsts budžeta finansējumu atbilstoši normatīvajam aktam par maksimāli pieļaujamā valsts budžeta izdevumu kopapjoma un  katrai ministrijai un citai centrālajai valsts iestādei paredzētā izdevumu kopējā apjoma noteikšanas kārtību vidējam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aktivitātes ietvaros tiek paredzēti ieguldījumi infrastruktūrā, kā arī anotācijā skaidroto, ka pasākuma ietvaros īstenotajām darbībām nav saimnieciska rakstura, lūdzam nodrošināt, ka visā aktivitātes ietvaros radītās infrastruktūras ekspluatācijas laikā tiek nodrošināts, ka infrastruktūra netiek izmantota saimnieciskās darbības veikšanai un par to ir nodrošināta atbilstoša uzraudzība. Vēršam uzmanību, ka līdzīgus nosacījumus Labklājības ministrija jau ir ietvērusi Ministru kabineta 2022. gada 8. februāra noteikumos Nr. 102 "Darbības programmas "Izaugsme un nodarbinātība" 9.3.1. specifiskā atbalsta mērķa "Attīstīt pakalpojumu infrastruktūru bērnu aprūpei ģimeniskā vidē un personu ar invaliditāti neatkarīgai dzīvei un integrācijai sabiedrībā" 9.3.1.3. pasākuma "Sabiedrībā balstītu sociālo pakalpojumu infrastruktūras attīstība Rīgas valstspilsētā"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MK noteikumu projektā noteikt, ka gadījumā, ja pasākuma ietvaros izveidojamā sabiedrībā balstītu sociālo pakalpojumu infrastruktūra projekta īstenošanas laikā vai projekta dzīves cikla laikā kļūst par infrastruktūru, kas saistīta ar saimniecisko darbību, kurai sniegtais atbalsts būtu kvalificējams kā komercdarbības atbalsts, finansējuma saņēmējs atmaksā sadarbības iestādei nelikumīgi saņemto atbalstu saskaņā ar Komercdarbības atbalsta kontroles likuma IV vai V nodaļu. Ar atbilstošu skaidrojumu par projektu uzraudzību lūdzam papildināt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jaunizveidotās bērnu ĢVPP vietas tiks reģistrētas valsts vienotajā datorizētajā Zemesgrāmatā uz LM vārda, bet sociālo pakalpojumu sniedzēju reģistrā kā esošo VSAC filiāles, un tur pilnā apjomā plānots nodrošināt valsts finansētus ilgstošās sociālās aprūpes un sociālās rehabilitācijas pakalpojumus ārpusģimenes aprūpē esošajiem bērniem.  LM ieskatā noteikumu projekta šā brīža redakcijā ir pietiekams nosacījums attiecībā uz ilgtspējas nodrošināšanu.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30.15. nodrošina projekta rezultātu ilgtspēju vismaz piecus gadus, izmantojot valsts budžeta finansējumu atbilstoši normatīvajam aktam par maksimāli pieļaujamā valsts budžeta izdevumu kopapjoma un  katrai ministrijai un citai centrālajai valsts iestādei paredzētā izdevumu kopējā apjoma noteikšanas kārtību vidējam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Finanšu ministrijas iebildumu, kas atspoguļots izziņas 14.punktā. Ievērojot to, ka ieguldījums aktivitātes ietvaros tiek veikts ar saimniecisko darbību nesaistītā infrastruktūrā, atkārtoti lūdzam Labklājības ministriju nodrošināt, ka visā aktivitātes ietvaros radītās infrastruktūras ekspluatācijas laikā (amortizācijas periodā) tiek nodrošināta uzraudzība, ka aktivitātes ietvaros radītā infrastruktūra netiek izmantota saimnieciskās darbības veikšanai. Vienlaikus lūdzam MK noteikumu projektā noteikt, ka gadījumā, ja pasākuma ietvaros izveidotā sabiedrībā balstītu sociālo pakalpojumu infrastruktūra amortizācijas periodā kļūst par infrastruktūru, kas saistīta ar saimniecisko darbību, kurai sniegtais atbalsts būtu kvalificējams kā komercdarbības atbalsts, labuma guvējs atmaksā sadarbības iestādei nelikumīgi saņemto atbalstu saskaņā ar Komercdarbības atbalsta kontroles likuma IV vai V nodaļu. Ar atbilstošu skaidrojumu par projektu uzraudzību lūdzam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ir atkārtoti izvērtējusi izvirzīto iebildumu un skaidro, ka izveidotajā infrastruktūrā ēku ekspluatācijas laikā (amortizācijas periodā) netiek plānota minētās infrastruktūras izmantošana saimnieciskās darbības veikšanai. Izveidotajās bērnu ģimeniskai videi pietuvinātā pakalpojuma (ĢVPP) sniegšanas vietās plānots nodrošināt valsts finansētu ilgstošas sociālās aprūpes un sociālās rehabilitācijas pakalpojumu ārpusģimenes aprūpē esošajiem bērniem un jauniešiem ar smagiem un ļoti smagiem funkcionālajiem traucējumiem, kuriem nav iespējama aprūpe ģimeniskā vidē — audžuģimenē vai pie aizbildņa. Šāda pakalpojuma nodrošināšana ir noteikta Sociālo pakalpojumu un sociālās palīdzības likumā un, kā jau minēts iepriekš, tiek finansēta no valsts budžeta. Jau šobrīd minētā sociālās aprūpes un sociālās rehabilitācijas pakalpojuma sniegšana tiek nodrošināta valsts sociālās aprūpes centros 113 bērniem (2022. gada statistikas dati https://www.lm.gov.lv/lv/par-2022-gadu-0), taču tur esošā infrastruktūra nav piemērota ģimeniskās vides principu ievērošanai. Bet saskaņā ar  MK noteikumiem Nr. 338 prasības par ĢVPP nodrošināšanu ārpusģimenes aprūpē esošajiem bērniem un jauniešiem pilnībā jāizpilda līdz 01.01.2026. Tāpēc šāda veida ģimeniskai videi pietuvināta pakalpojuma sniegšanas vietas ir jāizveido, lai tajās turpinātu sniegt pakalpojumus šobrīd VSAC esošajiem ārpusģimenes aprūpē esošajiem bērniem, kuri ir 4.3.1.2. pasākuma mērķa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projekta ietvaros izveidoto bērnu ĢVPP infrastruktūru finansējuma saņēmējs VSIA "Šampētera nams", atbilstoši noteikumu projekta 30.11. apakšpunktā noteiktajam, nodos valdījumā LM, nodrošinot īpašumu reģistrāciju zemesgrāmatā uz LM vārda.  Izveidotās infrastruktūras objektos sniegtā pakalpojuma saturu pēc būtības nodrošinās VSAC, kas atbilstoši Valsts pārvaldes iekārtas likumam ir LM padotības iestāde pakļautības formā un atbilstoši VSAC nolikumam īsteno valsts politiku ilgstošas sociālās aprūpes un sociālās rehabilitācijas jomā. Savukārt VSIA "Šampētera nams" ir valsts kapitālsabiedrība, kurā LM ir valsts kapitāla daļu turētāja un kurai atbilstoši Sociālo pakalpojumu un sociālās palīdzības likuma 9.</w:t>
            </w:r>
            <w:r w:rsidR="00000000" w:rsidRPr="00000000" w:rsidDel="00000000">
              <w:rPr>
                <w:vertAlign w:val="superscript"/>
                <w:rtl w:val="0"/>
              </w:rPr>
              <w:t xml:space="preserve">1</w:t>
            </w:r>
            <w:r w:rsidR="00000000" w:rsidRPr="00000000" w:rsidDel="00000000">
              <w:rPr>
                <w:rtl w:val="0"/>
              </w:rPr>
              <w:t xml:space="preserve"> panta trešajā daļā ir noteikts uzdevums pārvaldīt valsts nekustamos īpašumus, kuri nepieciešami  VSAC pakalpojumu nodrošināšanai. Veicot minēto uzdevumu, VSIA "Šampētera nams" atrodas LM funkcionālā pārraudzībā un nodrošina piešķirto valsts budžeta līdzekļu racionālu izlietojumu un kontroli. Ņemot vērā minēto Sociālo pakalpojumu un sociālās palīdzības likumā, LM, piemērojot VSAC pakļautību un VSIA "Šampētera nams" funkcionālo pārraudzību, nodrošina, ka izveidotā bērnu ĢVPP infrastruktūra tiks izmantota tam paredzētajam mērķim – paaugstināt pakalpojumu kvalitāti un uzlabot pakalpojumu pieejamību VSAC, izveidojot ĢVPP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pēc statistikas datiem kopš 2017. gada vērojama VSAC uzņemto bērnu skaita noturīga lejupslīde, tomēr joprojām ievērojams skaits bērnu ir ievietoti ārpusģimenes aprūpes institūcijās, no kuriem lielākais īpatsvars ir pusaudžu vecumā  un bērni ar ļoti smagiem funkcionāliem traucējumiem, kurus neizvēlas uzņemt savā ģimenē audžuģimenes vai adoptētāji. Tas lielākoties ir saistīts ar to, ka bērnu, kuriem nepieciešama īpaša aprūpe, kā arī pusaudžu vecuma bērnu, kam var būt dažādas uzvedības problēmas, aprūpe prasa lielāku aprūpes personas resursu ieguldījumu bērna ikdienas aprūpē. Turklāt tiek paredzēts, ka, bērniem pieaugot, izveidotajā infrastruktūrā atbalstu varēs saņemt arī personas (jaunieši) vecumā no 18 līdz 25 gadiem, kuriem ir smagi un ļoti smagi funkcionālie traucējumi, ja viņi turpinās saņemt VSAC pakalpojumu. Tādējādi jaunietis, kurš būs saņēmis aprūpi ĢVPP, pēc pilngadības sasniegšanas nezaudēs sasaisti ar ierasto ģimeniskai dzīvei pietuvināto vidi un sekmīgāk apgūs neatkarīgai dzīvei nepieciešamās dzīves prasmes un iemaņas. Atbilstoši Sociālo pakalpojumu un sociālās palīdzības likumam ilgstošas sociālās aprūpes un rehabilitācijas pakalpojuma nodrošināšana šai mērķa grupai arī ir valsts funkcija, ko finansē valsts budžets. Tādējādi izveidotā infrastruktūra visā tās ekspluatācijas laikā tiks izmantota valstij noteikto funkciju izpildes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palielinoties sabiedrībā balstītu sociālo pakalpojumu pieejamībai vai citu personu ar invaliditāti atbalstošu pasākumu ietekmē, rastos situācija, ka jaunizveidotās infrastruktūras pilnu noslodzi nav iespējams nodrošināt, sniedzot VSAC pakalpojumus mērķa grupas personām vecumā līdz 25 gadiem, pieļaujamais vecums varētu tikt palielināts, piemēram, līdz 30 gadiem vai citam vecumam, kas atbilstu demogrāfiskajai situācijai un pieprasījumam pēc pakalpojuma konkrētajā laika periodā. Arī šajā gadījumā pakalpojums tiktu nodrošināts personām ar smagiem un ļoti smagiem garīga rakstura traucējumiem, kuriem atbilstoši Sociālo pakalpojumu un sociālās palīdzības likumā noteiktajam ilgstošas sociālās aprūpes un rehabilitācijas pakalpojuma nodrošināšanu finansē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pamatojuma par vienkāršoto izmaksu nepiemērošanas otro punktu, ņemot vērā, ka VI ir izstrādāta vienota pieeja vienotās likmes personāla izmaksu segšanai piemērošanā, proti, paredzot anotācijā sniegt detalizētu aprakstu par vienoto personāla izmaksu likmi, tāpēc atkārtoti lūdzam piemērot personāla izmaksu segšanai kādu no vienkāršoto izmaksu veidiem.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Pamatojuma par vienkāršoto izmaksu nepiemērošanu otrais  punkts sākotnējā redakcijā svītrots, papildināts ar citu informāciju, kas minēta izziņas 5.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vienkāršoto izmaksu piemērošanu lūdzam anotācijā papildināt ar nosacījumu, ka projekta īstenošanas gaitā (pēc pietiekama apmēra objektīvu datu uzkrāšanas) atkārtoti tiks izvērtēta vienkāršoto izmaksu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attiecīgu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sadaļas "Risinājuma apraksts" pēdējo rindkopu ar pilnu informāciju par dalījumu pa intervences kategorijām (Intervences laukums, Finansējuma veids, Teritoriālie sasniegšanas mehānismi, ESF+ sekundārās tēmas un Dzimumu līdztiesība), norādot intervences kodus un tam piemērojamo pasākuma fondu finansējuma apjomu, atbilstoši Programmā un tā papildinājumā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novērtējumu par plānoto ietekmi uz tautsaimniecību, t.sk. norādot pēc iespējas izmērāmus faktiski sagaidāmos rezultātus/rādītājus, papildus Eiropas Savienības kohēzijas politikas programmā 2021.-2027.gadam noteiktajiem rādītājiem. Investīciju pienesumu tautsaimniecībai atspoguļo, piemēram, izmērāma ietekme uz makroekonomisko vidi, pienesums ekonomikas transformācijai, nozaru konkurētspējai, uzņēmējdarbības videi, nodarbinātībai, kā arī ietekme uz nozaru politikas mērķiem, Latvijas Nacionālajā attīstības plāna 2021.–2027.gadam noteiktajiem mērķiem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30.14.apakšpunktā paredzēto par projekta rezultātu ilgtspējas nodrošināšanu, lūdzam papildināt anotācijas 3.sadaļu ar informāciju par izdevumu pozīcijām, kādām ir nepieciešams valsts budžeta finansējums projekta rezultātu ilgtspējas nodrošināšanai, tai skaitā sniedzot detalizētus aprēķinus un pamatojot, kāpēc rezultātu uzturēšana ir nodrošināma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Ņemot vērā, ka pakalpojums jau šobrīd tiek nodrošināts no valsts budžeta apakšprogrammas 05.03.00 “Aprūpe valsts sociālās aprūpes institūcijās” un arī pēc projekta beigām to plānots nodrošināt no iepriekšminētās apakšprogrammas piešķirtā finansējuma ietvaros, ietekme uz valsts budžetu rezultātu ilgtspējas nodrošināšanai nav plānota. Līdz ar to anotācijas 3. sadaļa nav papildināta ar aprēķiniem, bet sniegts skaidrojums sadaļā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projekta iesniedzējam un sadarbības partneriem;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1.4. apakšpunktu izteikt sekojošā redakcijā: "prasības Eiropas Reģionālās attīstības fonda projekta (turpmāk - projekts) iesniedzējam, finansējuma saņēmējam un sadarbības partneriem;".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Reģionālās attīstības fonda projekta (turpmāk – projekts) iesniedzējam, finansējuma saņēmējam un sadarbības partneriem;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mērķa grupa ir bāreņi un bez vecāku gādības palikuši bērni ar smagiem un ļoti smagiem funkcionāliem traucējumiem, kuriem funkcionālo traucējumu smaguma pakāpes dēļ nav iespējams nodrošināt aprūpi ģimenē, pie aizbildņa, audžuģimenē vai specializētajā audžuģimenē, un kuri ir ievietoti valsts sociālās aprūpes centros, un personas no 18 gadiem līdz 25 gadiem (ieskaitot) ar smagiem un ļoti smagiem garīga rakstura traucējumiem.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vai uz mērķa grupu - personas no 18 līdz 25 gadiem ar smagiem un ļoti smagiem garīga rakstura traucējumiem - attiecināms kritērijs par atrašanos valsts sociālās aprūpes centrā, vai arī šai mērķa grupai atbalsts plānots, neatkarīgi no personu dzīvesvietas. Lūgums atbilstoši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mērķa grupa ir VSAC esošie bērni un personas no 18 gadiem līdz 25 gadiem (ieskaitot) ar smagiem un ļoti smagiem garīga rakstura traucējumiem.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mērķa grupa ir valsts sociālās aprūpes centros esoši: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 finansējuma saņēmējam un sadarbības partneriem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2023.gada 13.jūlija protokollēmuma Nr.36 85. § 3.punktā, noteikto, aicinām izvērtēt un, ja attiecināms, papildināt noteikumu projektu ar pienākumu finansējuma saņēmējam veikt izmaksu un ieguvumu analīzi.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netiek iekļauts nosacījums par nepieciešamību finansējuma saņēmējam veikt izvērtējumu par izmaksu un ieguvumu analīzi projekta saskaņā ar MK 13.07.2023. sēdes protokolā Nr. 36 85.§ 3.punktā noteikto.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īsteno valsts pārvaldes uzdevumu saskaņā ar Sociālo pakalpojumu un sociālās palīdzības likuma 9.</w:t>
            </w:r>
            <w:r w:rsidR="00000000" w:rsidRPr="00000000" w:rsidDel="00000000">
              <w:rPr>
                <w:vertAlign w:val="superscript"/>
                <w:rtl w:val="0"/>
              </w:rPr>
              <w:t xml:space="preserve">1</w:t>
            </w:r>
            <w:r w:rsidR="00000000" w:rsidRPr="00000000" w:rsidDel="00000000">
              <w:rPr>
                <w:rtl w:val="0"/>
              </w:rPr>
              <w:t xml:space="preserve"> panta trešajā daļā noteikto, ka LM valdījumā esošos valsts nekustamos īpašumus, kuri nepieciešami  valsts finansēto ilgstošas sociālās aprūpes un sociālās rehabilitācijas institūciju pakalpojumu nodrošināšanai, pārvalda VSIA "Šampētera nams". Ar minēto likuma normu VSIA "Šampētera nams" ir uzdots uzdevums izveidot un pārvaldīt nekustamo īpašumu infrastruktūru, kas nepieciešama valsts finansēto ilgstošas sociālās aprūpes un sociālās rehabilitācijas institūciju (VSAC) pakalpojumu, tostarp arī bērnu ĢVPP, sniegšanas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 finansējuma saņēmējam un sadarbības partneriem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Projekta iesniedzējs pasākuma ietvaros ir valsts sabiedrība ar ierobežotu atbildību "Šampētera nams", kas saskaņā ar Sociālo pakalpojumu un sociālās palīdzības likumā noteikto pārvalda Labklājības ministrijas valdījumā esošos valsts nekustamos īpašumus, kuri nepieciešami valsts sociālo aprūpes centra pakalpojumu nodrošināšanai. Projekta iesniedzējs, kura projekta iesniegums ir apstiprināts, ir Eiropas Reģionālās attīstības fonda finansējuma saņēmējs (turpmāk –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Savienības fondu 2021.—2027. gada plānošanas perioda vadības likuma 1. panta 3. punktu persona, kuras projekta iesniegums ir apstiprināts, ir finansējuma saņēmējs. Ievērojot minēto, lūdzam svītrot noteikumu projekta 11. punktā vārdus "Eiropas Reģionālās attīstības fonda".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Projekta iesniedzējs pasākuma ietvaros ir valsts sabiedrība ar ierobežotu atbildību "Šampētera nams", kas saskaņā ar Sociālo pakalpojumu un sociālās palīdzības likumā noteikto pārvalda Labklājības ministrijas valdījumā esošos valsts nekustamos īpašumus, kuri nepieciešami valsts sociālo aprūpes centra pakalpojumu nodrošināšanai. Projekta iesniedzējs, kura projekta iesniegums ir apstiprināts, ir finansējuma saņēmējs (turpmāk – finansējuma saņēmējs).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nodrošināt, ka projekta īstenošanā informatīvā un konsultatīvā atbalsta sniegšanā piedalās to valsts sociālo aprūpes centru filiāļu speciālisti, kuri ikdienā nodrošina ilgstošas sociālās aprūpes un sociālās rehabilitācijas pakalpojumu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minētajai mērķa grupai.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13.2. apakšpunktu aiz vārda "īstenošanā" ar vārdiem un skaitļiem "šo noteikumu 13.1. apakšpunktā minētajā".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nodrošināt, ka projekta īstenošanā šo noteikumu </w:t>
            </w:r>
            <w:r w:rsidR="00000000" w:rsidRPr="00000000" w:rsidDel="00000000">
              <w:rPr>
                <w:rtl w:val="0"/>
              </w:rPr>
              <w:t xml:space="preserve">13.1. </w:t>
            </w:r>
            <w:r w:rsidR="00000000" w:rsidRPr="00000000" w:rsidDel="00000000">
              <w:rPr>
                <w:rtl w:val="0"/>
              </w:rPr>
              <w:t xml:space="preserve">apakšpunktā</w:t>
            </w:r>
            <w:r w:rsidR="00000000" w:rsidRPr="00000000" w:rsidDel="00000000">
              <w:rPr>
                <w:rtl w:val="0"/>
              </w:rPr>
              <w:t xml:space="preserve"> minētajā informatīvā un konsultatīvā atbalsta sniegšanā piedalās to valsts sociālo aprūpes centru filiāļu speciālisti, kuri ikdienā nodrošina ilgstošas sociālās aprūpes un sociālās rehabilitācijas pakalpojumu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minētajai mērķa grupai.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būvniecība, pārbūve vai atjaunošana, teritorijas labiekārtošana, būvekspertīze, būvuzraudzība, autoruzraudzība, energosertifikācija un energoaudits;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14.2. apakšpunktā norādīt darbību "Būvniecība".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Bet 16.2. apakšpunktu papildināt, norādot, ka 14.2. apakšpunktā norādītās izmaksas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16.2.1. būvdarbu izmaksas, tai skaitā jauna būvniecība, pārbūve, atjaunošana;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16.2.2. atbilstoši būvniecības jomu regulējošos normatīvos aktos noteiktajām prasībām - būvniecības ieceres dokumentācijas izstrādes izmaksas, tai skaitā būvprojekta, būvekspertīzes, energosertifikācijas, energoaudita, būvuzraudzības, autoruzraudzības izmaksas u.c.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16.2.3. teritorijas labiekārtošanas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16.2. apakšpunktā jau ir noteiktas visas ar 14.2. apakšpunktā minētās darbības īstenošanu saistītās izmaksas. Precizējot noteikumu projektu atbilstoši FM priekšlikumam, izmaksas dublēsies (piemēram, būvdarbu izmaksas un iepirkumu līgumu izmaksas).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būvniecība, pārbūve vai atjaunošana, teritorijas labiekārtošana, būvekspertīze, būvuzraudzība, autoruzraudzība, energosertifikācija un energoaudits;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būvniecība, teritorijas labiekārtošana, būvekspertīze, būvuzraudzība, autoruzraudzība, energosertifikācija un energoaudits;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ir paredzēts veikt pārbūvi vai atjaunošanu (modernizējot jau esošu infrastruktūru).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atbalstāmās darbības, nodrošinot savstarpēji saskaņotu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4.3.1.2. pasākuma projekta ietvaros kā izdevīgākais risinājums bērnu ĢVPP infrastruktūras izveidei plānota tieši jaunu, pielāgotu un visiem nosacījumiem atbilstošu ēku būvniecība. Taču vietu izvēle, kur plānots veidot bērnu ĢVPP infrastruktūru, vēl ir procesā, jo tās tiek vērtētas pēc dažādiem nosacījumiem, tostarp attiecībā uz vispārējo sabiedrībā balstīto pakalpojumu (izglītība, veselības aprūpe, transports) pieejamību. Lai neizslēgtu variantu, ka piemērots risinājums var būt arī esošā ēkā, noteikumu projekta atbalstāmo darbību apraksts ir papildināts ar pārbūvi un atjaunošanu.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būvniecība, pārbūve vai atjaunošana, teritorijas labiekārtošana, būvekspertīze, būvuzraudzība, autoruzraudzība, energosertifikācija un energoaudits;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nekustamā īpašuma atsavināšana, tai skaitā arī atsavināšana sabiedrības vajadzībām un nekustamā īpašuma tirgus cenas novērtēšana;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14.3.apakšpunktu ar nekustamā īpašuma iegādi.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nekustamā īpašuma atsavināšana, tai skaitā nekustamā īpašuma iegāde, atsavināšana sabiedrības vajadzībām un nekustamā īpašuma tirgus cenas novērtēšana;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nekustamā īpašuma atsavināšana, tai skaitā arī atsavināšana sabiedrības vajadzībām un nekustamā īpašuma tirgus cenas novērtēšana;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precizētā Noteikumu projekta 14.3.apakšpunktu pasākuma ietvaros atbalstāmā darbība ir nekustamā īpašuma atsavināšana. Un saskaņā ar 16.2.3.apakšpunktu izmaksas nekustamā īpašuma iegādei un nekustamā īpašuma tirgus cenas novērtēšanai, kā arī izmaksas, kas saistītas ar nekustamā īpašuma iegādi un atsavināšanu tiek iekļautas pārējās projekta īstenošanas izmaksās.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kādu nekustamā īpašuma atsavināšanas veidu atbilstoši Publiskas personas mantas atsavināšanas likuma 3.panta pirmajā daļā noteiktajiem nekustamā īpašuma atsavināšanas veidiem projekta īstenošanai paredzēts piemērot, vai ir paredzēta arī valsts nekustamā īpašuma pārdošana.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Publiskas personas mantas atsavināšanas likuma 8.panta pirmo daļu un 9.panta pirmo daļu, atsavināšanai paredzētā valsts nekustamā īpašuma novērtēšanu un atsavināšanu organizē valsts akciju sabiedrība "Valsts nekustamie īpašumi", izņemot 8 panta 1.</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daļā un attiecīgi 9.panta 1.</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daļā minētos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minētā likuma 47.pants nosaka, ka publiskas personas mantas atsavināšanā iegūtos līdzekļus pēc atsavināšanas izdevumu segšanas ieskaita attiecīgās publiskās personas budžetā. Atsavināšanas izdevumu apmēru nosaka Ministru kabineta paredzētajā kārtībā (MK 01.02.2011. noteikumi Nr.109 "Kārtība, kādā atsavināma publiskas personas manta").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4.3.1.2. pasākuma projekta ietvaros, pēc pašvaldību un valsts kapitālsabiedrību piedāvāto  potenciālo bērnu ĢVPP infrastruktūras vietu apzināšanas un izvērtēšanas, izvēlēto nekustamo īpašumu atsavināšana iespējama atbilstoši jebkuram Publiskas personas mantas atsavināšanas likuma 3. panta pirmajā daļā noteiktajam atsavināšanas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informējam, ka 12.09.2023. MK sēdē tika pieņemts rīkojums (Nr. 44/8.§) par divu valsts nekustamo īpašumu Ezera ielā 13 un Ezera ielā 15, Balvos, Balvu novadā nodošanu Labklājības ministrijas valdījumā (nododot bez atlīdzības). Līdz nodošanai minētie nekustamie īpašumi ir bijuši ierakstīti zemesgrāmatā uz valsts vārda Finanšu ministrijas personā.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nekustamā īpašuma atsavināšana, tai skaitā nekustamā īpašuma iegāde, atsavināšana sabiedrības vajadzībām un nekustamā īpašuma tirgus cenas novērtēšana;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nekustamā īpašuma iegāde, tai skaitā vērtēšana tirgus cenas noteikšanai;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uz ko ietverta norāde anotācijā un kas izskatīts Ministru kabineta sēdē 2022. gada 11. janvārī (protokols Nr. 2, 54. §), minēts: "</w:t>
            </w:r>
            <w:r w:rsidR="00000000" w:rsidRPr="00000000" w:rsidDel="00000000">
              <w:rPr>
                <w:i w:val="1"/>
                <w:rtl w:val="0"/>
              </w:rPr>
              <w:t xml:space="preserve">Tikai gadījumos, kad ĢVPP infrastruktūras izveidei izvēlētā teritorija nepiederēs valstij vai pašvaldības nepiedāvās ĢVPP infrastruktūras izveidei savu nekustamo īpašumu uz citiem nosacījumiem (piem. maiņa), projektā plānota nekustamā īpašuma iegāde</w:t>
            </w:r>
            <w:r w:rsidR="00000000" w:rsidRPr="00000000" w:rsidDel="00000000">
              <w:rPr>
                <w:rtl w:val="0"/>
              </w:rPr>
              <w:t xml:space="preserve">." Ņemot vērā, ka projektā ir minēta tikai nekustamā īpašuma iegāde, aicinām anotācijā sniegt skaidrojumu par projektā paredzēto regulējumu saistībā ar iepriekš minēto. Nepieciešamības gadījumā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projekts izstrādāts, lai noteiktu ES fondu finansējuma izmantošanas nosacījumus bērnu ĢVPP infrastruktūras izveidei, kur finansiāli ietilpīgākās izmaksu pozīcijas saistītas ar būvdarbiem vai arī iespējama nekustamā īpašuma iegāde. Noteikumu projekts neparedz nosacījumus tam, kādā veidā tiks risināts nekustamā īpašuma pārņemšanas variants un reģistrācijas process Zemesgrāmatā uz LM vārda. To VSIA "Šampētera nams" sadarbībā ar LM un pašvaldībām un valsts kapitālsabiedrībām risinās saskaņā ar citu atbilstošo tiesisko regulējumu (atkarībā no konkrētās situācijas).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 informācijas un publicitātes pasākumi par projekta īstenošanu, kā arī vizuālās identitātes prasību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Eiropas Savienības fondu normatīvos aktus un noteikto vienoto praksi, lūdzam lietot jēdzienu "komunikācijas un vizuālās identitātes prasību nodrošināšanas nosacījumi", un pēc nepieciešamības precizēt noteikumu projekta 16.2.1.punktu un 30.6.apakšpunktu.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attiecīgo informāciju par informācijas un publicitātes pasākumu nodrošināšanu (komunikācijas un vizuālās identitātes prasību nodrošināšanas nosacījumu ievērošanu), norādīt arī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tā anotācija ir precizēta atbilstoši izteiktajam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 komunikācijas un vizuālās identitātes prasību nodrošināšanas pasākumi;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attiecināmās personāla atlīdzības izmaksas – projekta vadības un īstenošanas personāla atlīdzības izmaksas, izņemot virsstundas. Ja personāla iesaiste projektā ir nodrošināta saskaņā ar daļlaika izmaksu attiecināmības principu, attiecināma ir ne mazāka kā 30 procentu noslodze. Ja personāls ir nodarbināts nepilnu darba laiku, atlīdzības izmaksas nosakāmas atbilstoši nepilnā darba laika noslodzei. Personāla atlīdzības izmaksām jābūt atbilstošām finansējuma saņēmēja iestādes atlīdzības sistēmā noteiktajai samaksai par līdzvērtīga darba veikšanu vai atbilstošām vidējai darba samaksai pēc Latvijas Republikas Centrālās statistikas pārvaldes datiem par līdzvērtīgu darbu attiecīgajā nozarē;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vārdu savienojumu "personāla atlīdzības izmaksas" uz "personāla izmaksas" un attiecīgi precizēt visā MK noteikumu tekstā, t.sk.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 savienojums "personāla atlīdzības izmaksas" uz precizēts uz "personāla izmaksas", ciktāl attiecināms. Noteikumu projekta 16.1. apakšpunkta trešajā teikumā saglabāts vārdu savienojums “personāla atlīdzības izmaksas”, ņemot vērā, ka nosacījums par līdzvērtīgu darba samaksu attiecināms uz atlīdzību.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attiecināmās personāla izmaksas – projekta vadības un īstenošanas personāla  izmaksas, izņemot virsstundas. Ja personāla iesaiste projektā ir nodrošināta saskaņā ar daļlaika izmaksu attiecināmības principu, attiecināma ir ne mazāka kā 30 procentu noslodze. Ja personāls ir nodarbināts nepilnu darba laiku, izmaksas nosakāmas atbilstoši nepilnā darba laika noslodzei. Personāla atlīdzības izmaksām jābūt atbilstošām finansējuma saņēmēja iestādes atlīdzības sistēmā noteiktajai samaksai par līdzvērtīga darba veikšanu vai atbilstošām vidējai darba samaksai pēc Latvijas Republikas Centrālās statistikas pārvaldes datiem par līdzvērtīgu darbu attiecīgajā nozarē;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16.2.4. iekšzemes komandējumu un darba (dienesta) braucienu izmaksas šo noteikumu </w:t>
            </w:r>
            <w:r w:rsidR="00000000" w:rsidRPr="00000000" w:rsidDel="00000000">
              <w:rPr>
                <w:rtl w:val="0"/>
              </w:rPr>
              <w:t xml:space="preserve">14.7. </w:t>
            </w:r>
            <w:r w:rsidR="00000000" w:rsidRPr="00000000" w:rsidDel="00000000">
              <w:rPr>
                <w:rtl w:val="0"/>
              </w:rPr>
              <w:t xml:space="preserve">apakšpunktā</w:t>
            </w:r>
            <w:r w:rsidR="00000000" w:rsidRPr="00000000" w:rsidDel="00000000">
              <w:rPr>
                <w:rtl w:val="0"/>
              </w:rPr>
              <w:t xml:space="preserve"> minētās atbalstāmās darbības īstenošanai, ja projekta vadības un īstenošanas personāls piesaistīts uz darba tiesisko attiecību pamata. Iekšzemes komandējumu un darba (dienesta) braucienu izmaksām piemēro vadošās iestādes metodikas par vienas vienības izmaksu standarta likmes aprēķinu un piemērošanu viena km izmaksām  un iekšzemes komandēju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pasākuma mērķis ir ģimeniskai videi pietuvināta pakalpojuma </w:t>
            </w:r>
            <w:r w:rsidR="00000000" w:rsidRPr="00000000" w:rsidDel="00000000">
              <w:rPr>
                <w:u w:val="single"/>
                <w:rtl w:val="0"/>
              </w:rPr>
              <w:t xml:space="preserve">infrastruktūras izveide</w:t>
            </w:r>
            <w:r w:rsidR="00000000" w:rsidRPr="00000000" w:rsidDel="00000000">
              <w:rPr>
                <w:rtl w:val="0"/>
              </w:rPr>
              <w:t xml:space="preserve">, aicinām izvērtēt, vai noteikumu 16.2.4. apakšpunktā un 18.6. apakšpunktā paredzētās izmaksas nebūtu iespējams segt no noteikumu projekta 15.2. apakšpunktā norādītajām netiešajām izmaksām.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ņemot vērā personāla izmaksām noteikto ierobežojumu – 84 787 </w:t>
            </w:r>
            <w:r w:rsidR="00000000" w:rsidRPr="00000000" w:rsidDel="00000000">
              <w:rPr>
                <w:i w:val="1"/>
                <w:rtl w:val="0"/>
              </w:rPr>
              <w:t xml:space="preserve">euro </w:t>
            </w:r>
            <w:r w:rsidR="00000000" w:rsidRPr="00000000" w:rsidDel="00000000">
              <w:rPr>
                <w:rtl w:val="0"/>
              </w:rPr>
              <w:t xml:space="preserve">gadā, finansējuma saņēmējs ES fondu finanšu atbalstu netiešo izmaksu veidā var saņemt kalendārajā gadā līdz 12 718 </w:t>
            </w:r>
            <w:r w:rsidR="00000000" w:rsidRPr="00000000" w:rsidDel="00000000">
              <w:rPr>
                <w:i w:val="1"/>
                <w:rtl w:val="0"/>
              </w:rPr>
              <w:t xml:space="preserve">euro </w:t>
            </w:r>
            <w:r w:rsidR="00000000" w:rsidRPr="00000000" w:rsidDel="00000000">
              <w:rPr>
                <w:rtl w:val="0"/>
              </w:rPr>
              <w:t xml:space="preserve">(84  787*15%), attiecīgi vienā mēnesī veidojot 1 059 </w:t>
            </w:r>
            <w:r w:rsidR="00000000" w:rsidRPr="00000000" w:rsidDel="00000000">
              <w:rPr>
                <w:i w:val="1"/>
                <w:rtl w:val="0"/>
              </w:rPr>
              <w:t xml:space="preserve">euro</w:t>
            </w:r>
            <w:r w:rsidR="00000000" w:rsidRPr="00000000" w:rsidDel="00000000">
              <w:rPr>
                <w:rtl w:val="0"/>
              </w:rPr>
              <w:t xml:space="preserve"> lielu finanšu apmēru. Minētā summa vērtējama kā pietiekama, lai kompensētu izmaksas, kas atbilstoši vadlīnijām attiecināmo izmaksu noteikšanai Eiropas Savienības kohēzijas politikas programmas 2021. – 2027. gada plānošanas periodā, ir uzskatāmas par netiešajām izmaksām. Savukārt iekšzemes komandējumu un transporta izmaksas finansējuma saņēmējam ir nepieciešamas, lai varētu apsekot potenciālās projekta īstenošanas vietas un nodrošināt  infrastruktūras objektu izveides uzraudzību. Ņemot vērā, ka objekti var būt iespējami dažādās Latvijas vietās (piem., Balvi, Liepāja), transporta izdevumi varētu neiekļauties netiešo izmaksu apmērā. Gadījumā, ja iekšzemes komandējuma un transporta izdevumi kā tiešās attiecināmās izmaksas projekta īstenošanas laikā nebūs nepieciešamas plānotajā apmērā, finansējuma saņēmējs ar projekta grozījumiem tās pārcels uz citu tiešo izmaksu pozīciju.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16.2.4. iekšzemes komandējumu un darba (dienesta) braucienu izmaksas šo noteikumu </w:t>
            </w:r>
            <w:r w:rsidR="00000000" w:rsidRPr="00000000" w:rsidDel="00000000">
              <w:rPr>
                <w:rtl w:val="0"/>
              </w:rPr>
              <w:t xml:space="preserve">14.7. </w:t>
            </w:r>
            <w:r w:rsidR="00000000" w:rsidRPr="00000000" w:rsidDel="00000000">
              <w:rPr>
                <w:rtl w:val="0"/>
              </w:rPr>
              <w:t xml:space="preserve">apakšpunktā</w:t>
            </w:r>
            <w:r w:rsidR="00000000" w:rsidRPr="00000000" w:rsidDel="00000000">
              <w:rPr>
                <w:rtl w:val="0"/>
              </w:rPr>
              <w:t xml:space="preserve"> minētās atbalstāmās darbības īstenošanai, ja projekta vadības un īstenošanas personāls piesaistīts uz darba tiesisko attiecību pamata. Iekšzemes komandējumu un darba (dienesta) braucienu izmaksām piemēro vadošās iestādes metodikas par vienas vienības izmaksu standarta likmes aprēķinu un piemērošanu viena km izmaksām  un iekšzemes komandējuma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16.2.4. iekšzemes komandējumu un darba (dienesta) braucienu izmaksas šo noteikumu </w:t>
            </w:r>
            <w:r w:rsidR="00000000" w:rsidRPr="00000000" w:rsidDel="00000000">
              <w:rPr>
                <w:rtl w:val="0"/>
              </w:rPr>
              <w:t xml:space="preserve">14.7. </w:t>
            </w:r>
            <w:r w:rsidR="00000000" w:rsidRPr="00000000" w:rsidDel="00000000">
              <w:rPr>
                <w:rtl w:val="0"/>
              </w:rPr>
              <w:t xml:space="preserve">apakšpunktā</w:t>
            </w:r>
            <w:r w:rsidR="00000000" w:rsidRPr="00000000" w:rsidDel="00000000">
              <w:rPr>
                <w:rtl w:val="0"/>
              </w:rPr>
              <w:t xml:space="preserve"> minētās atbalstāmās darbības īstenošanai, ja projekta vadības un īstenošanas personāls piesaistīts uz darba tiesisko attiecību pamata. Iekšzemes komandējumu un darba (dienesta) braucienu izmaksām piemēro vadošās iestādes metodikas par vienas vienības izmaksu standarta likmes aprēķina un piemērošanu 1 km izmaksām un iekšzemes komandējumu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noteikumu projektu ar nosacījumu ka žūrijas komisijas dalībnieki, pirms pieteikuma izvērtēšanas, izvērtēja un parakstīja apliecinājumu, ka nav saistīti ar labuma guvēju likuma “Par interešu konflikta novēršanu valsts amatpersonu darbībā” izpratnē un Regulas (ES) Nr. 2018/1046 61.panta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16.2.4. iekšzemes komandējumu un darba (dienesta) braucienu izmaksas šo noteikumu </w:t>
            </w:r>
            <w:r w:rsidR="00000000" w:rsidRPr="00000000" w:rsidDel="00000000">
              <w:rPr>
                <w:rtl w:val="0"/>
              </w:rPr>
              <w:t xml:space="preserve">14.7. </w:t>
            </w:r>
            <w:r w:rsidR="00000000" w:rsidRPr="00000000" w:rsidDel="00000000">
              <w:rPr>
                <w:rtl w:val="0"/>
              </w:rPr>
              <w:t xml:space="preserve">apakšpunktā</w:t>
            </w:r>
            <w:r w:rsidR="00000000" w:rsidRPr="00000000" w:rsidDel="00000000">
              <w:rPr>
                <w:rtl w:val="0"/>
              </w:rPr>
              <w:t xml:space="preserve"> minētās atbalstāmās darbības īstenošanai, ja projekta vadības un īstenošanas personāls piesaistīts uz darba tiesisko attiecību pamata. Iekšzemes komandējumu un darba (dienesta) braucienu izmaksām piemēro vadošās iestādes metodikas par vienas vienības izmaksu standarta likmes aprēķinu un piemērošanu viena km izmaksām  un iekšzemes komandējuma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16.2.4. iekšzemes komandējumu un darba (dienesta) braucienu izmaksas šo noteikumu </w:t>
            </w:r>
            <w:r w:rsidR="00000000" w:rsidRPr="00000000" w:rsidDel="00000000">
              <w:rPr>
                <w:rtl w:val="0"/>
              </w:rPr>
              <w:t xml:space="preserve">14.7. </w:t>
            </w:r>
            <w:r w:rsidR="00000000" w:rsidRPr="00000000" w:rsidDel="00000000">
              <w:rPr>
                <w:rtl w:val="0"/>
              </w:rPr>
              <w:t xml:space="preserve">apakšpunktā</w:t>
            </w:r>
            <w:r w:rsidR="00000000" w:rsidRPr="00000000" w:rsidDel="00000000">
              <w:rPr>
                <w:rtl w:val="0"/>
              </w:rPr>
              <w:t xml:space="preserve"> minētās atbalstāmās darbības īstenošanai, ja projekta vadības un īstenošanas personāls piesaistīts uz darba tiesisko attiecību pamata. Iekšzemes komandējumu un darba (dienesta) braucienu izmaksām piemēro vadošās iestādes metodikas par vienas vienības izmaksu standarta likmes aprēķina un piemērošanu 1 km izmaksām un iekšzemes komandējumu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izmantot pilnos metodiku nosaukumus: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Vienas vienības izmaksu standarta likmes aprēķina un piemērošanas metodika 1 km izmaksām darbības programmas “Izaugsme un nodarbinātība” un Eiropas Savienības kohēzijas politikas programmas 2021.–2027.gadam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Vienas vienības izmaksu standarta likmes aprēķina un piemērošanas metodika iekšzemes komandējumu izmaksām darbības programmas “Izaugsme un nodarbinātība” un Eiropas Savienības kohēzijas politikas programmas 2021.–2027.gadam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ieteikumam, proti, ka atbilstoši Ministru kabineta 2009. gada 3. februāra noteikumu Nr. 108 "Normatīvo aktu projektu sagatavošanas noteikumi" 136. punktā noteiktajam, noteikumu projektā neietver atsauces uz zemāka juridiskā spēka normatīvo aktu un, lai nodrošinātu vienotu pieeju LM pārziņas specifisko atbalsta mērķu pasākumu īstenošanas noteikumos, metodiku pilnie nosaukumi minēti tikai noteikumu projekta anotācijā. Anotācijas 1.3. apakšsadaļā “Risinājuma apraksts” ir ietverta norāde par attiecīgo metodiku piemērošanu pasākuma īstenošanā, precīzi norādot to pieejamību tīmekļa vietnē www.esfondi.lv.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[IĶ1]Jāieliek pilnie metodiku nosaukumi anotācijā un linki.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16.2.4. iekšzemes komandējumu un darba (dienesta) braucienu izmaksas šo noteikumu </w:t>
            </w:r>
            <w:r w:rsidR="00000000" w:rsidRPr="00000000" w:rsidDel="00000000">
              <w:rPr>
                <w:rtl w:val="0"/>
              </w:rPr>
              <w:t xml:space="preserve">14.7. </w:t>
            </w:r>
            <w:r w:rsidR="00000000" w:rsidRPr="00000000" w:rsidDel="00000000">
              <w:rPr>
                <w:rtl w:val="0"/>
              </w:rPr>
              <w:t xml:space="preserve">apakšpunktā</w:t>
            </w:r>
            <w:r w:rsidR="00000000" w:rsidRPr="00000000" w:rsidDel="00000000">
              <w:rPr>
                <w:rtl w:val="0"/>
              </w:rPr>
              <w:t xml:space="preserve"> minētās atbalstāmās darbības īstenošanai, ja projekta vadības un īstenošanas personāls piesaistīts uz darba tiesisko attiecību pamata. Iekšzemes komandējumu un darba (dienesta) braucienu izmaksām piemēro vadošās iestādes metodikas par vienas vienības izmaksu standarta likmes aprēķinu un piemērošanu viena km izmaksām  un iekšzemes komandējuma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teritorijas labiekārtošanai izmaksas plāno tādā apmērā, lai atbilstoši normatīvajiem aktiem būvniecības jomā nodrošinātu būves nodošanu ekspluatācijā, izveidotu teritoriju atpūtas un brīvā laika pavadīšanai, rehabilitācijai un rekreācijai, kā arī nodrošinātu vides piekļūstamību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minētajām mērķa grupas personām un citiem teritorijas un būves lietotājiem;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anotācijā ir noteikts: "Teritorijas labiekārtošanas darbi papildus minimālajām prasībām ir vērtējami pēc nepieciešamības un ekonomiskā samērīguma projekta budžeta ietvaros", aicinām  izvērtēt un  teritorijas labiekārtošanas darbiem noteikt procentuālo ierobežojumu.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ņemot vērā, ka bērnu ĢVPP sniegšanai nepieciešamo infrastruktūras ieguldījumu vietas vēl tiek apzinātas, nav iespējams prognozēt, kāds teritorijas labiekārtošanas darbu apjoms būs nepieciešams, taču tiek pieņemts, ka tas varētu būt vērtējams individuāli katrai infrastruktūras izveides vietai pēc nepieciešamības un samērīguma.  Papildus skaidrojam, ka arī FM izstrādātajās vadlīnijās "Vadlīnijas attiecināmo izmaksu noteikšanai Eiropas Savienības kohēzijas politikas programmas 2021.-2027.gada plānošanas periodā" nav norādes par to, ka teritorijas labiekārtošanas darbiem būtu nepieciešams noteikti procentuālo ierobežojumu.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teritorijas labiekārtošanai izmaksas plāno tādā apmērā, lai atbilstoši normatīvajiem aktiem būvniecības jomā nodrošinātu būves nodošanu ekspluatācijā, izveidotu teritoriju atpūtas un brīvā laika pavadīšanai, rehabilitācijai un rekreācijai, kā arī nodrošinātu vides piekļūstamību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minētajām mērķa grupas personām un citiem teritorijas un būves lietotājiem;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šo noteikumu </w:t>
            </w:r>
            <w:r w:rsidR="00000000" w:rsidRPr="00000000" w:rsidDel="00000000">
              <w:rPr>
                <w:rtl w:val="0"/>
              </w:rPr>
              <w:t xml:space="preserve">14.7. </w:t>
            </w:r>
            <w:r w:rsidR="00000000" w:rsidRPr="00000000" w:rsidDel="00000000">
              <w:rPr>
                <w:rtl w:val="0"/>
              </w:rPr>
              <w:t xml:space="preserve">apakšpunktā</w:t>
            </w:r>
            <w:r w:rsidR="00000000" w:rsidRPr="00000000" w:rsidDel="00000000">
              <w:rPr>
                <w:rtl w:val="0"/>
              </w:rPr>
              <w:t xml:space="preserve"> minētās atbalstāmās darbības īstenošanai var paredzēt transporta pakalpojumu izmaksas (transportlīdzekļa noma, transporta pakalpojumu pirkšana).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noteikumu projekta 18.6. apakšpunkta iekavas ar vārdiem "maksa par degvielu".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šo noteikumu </w:t>
            </w:r>
            <w:r w:rsidR="00000000" w:rsidRPr="00000000" w:rsidDel="00000000">
              <w:rPr>
                <w:rtl w:val="0"/>
              </w:rPr>
              <w:t xml:space="preserve">14.7. </w:t>
            </w:r>
            <w:r w:rsidR="00000000" w:rsidRPr="00000000" w:rsidDel="00000000">
              <w:rPr>
                <w:rtl w:val="0"/>
              </w:rPr>
              <w:t xml:space="preserve">apakšpunktā</w:t>
            </w:r>
            <w:r w:rsidR="00000000" w:rsidRPr="00000000" w:rsidDel="00000000">
              <w:rPr>
                <w:rtl w:val="0"/>
              </w:rPr>
              <w:t xml:space="preserve"> minētās atbalstāmās darbības īstenošanai var paredzēt transporta pakalpojumu izmaksas (transportlīdzekļa noma, transporta pakalpojumu pirkšana, maksa par degvielu).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minētos starpposma maksājumus sadarbības iestāde veic arī laikposmā, kad finansējuma saņēmējs izmanto saņemtā avansa maksājumu. Finansējuma saņēmējs avansa pieprasījumu sagatavo un sadarbības iestāde to apstiprina, ņemot vērā nosacījumu, ka plānotā avansa apmērs atbilst iespējai to izlietot deviņu mēnešu laikā saimnieciskā gada ietvaros. Finansējuma saņēmējam avansu sadarbības iestāde var piešķirt līdz 30 procentiem no projekta apstiprinātā kopējā attiecināmā  finansējuma, ievērojot, ka avansu var izmaksāt vairākos maksājumos.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Ministru kabineta 2023. gada 25. aprīļa noteikumu Nr. 205 "Valsts budžeta līdzekļu plānošanas kārtība Eiropas Savienības fondu projektu īstenošanai un maksājumu veikšanai 2021.–2027. gada plānošanas periodā" 26. punkta izriet, ka avanss izlietojams sešu mēnešu laikā. Gadījumā, ja piešķirtā avansa izmantošanai nepieciešami vairāk nekā seši mēneši, anotācijā iekļauj attiecīgu pamatojumu garāka termiņa noteikšanai. Ievērojot minēto, lūdzam izvērtēt un papildināt anotāciju ar plašāku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jau ir ietverts pamatojums avansa maksājuma izmantošanai 9 mēnešu ietvaros, t.i.,  šāds avansa izlietošanas termiņš noteikts, ņemot vērā, ka infrastruktūras būvniecība ir cieši saistīta ar sezonalitāti  – ziemas sezonā ir ierobežota būvdarbu veikšana, kad aktīvi būvdarbi nenotiek, tāpēc nepieciešams plānot ilgāku laiku avansa izlietošanai, iekļaujot arī aktīvās būvdarbu sezonas mēnešus.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minētos starpposma maksājumus sadarbības iestāde veic arī laikposmā, kad finansējuma saņēmējs izmanto saņemtā avansa maksājumu. Finansējuma saņēmējs avansa pieprasījumu sagatavo un sadarbības iestāde to apstiprina, ņemot vērā nosacījumu, ka plānotā avansa apmērs atbilst iespējai to izlietot deviņu mēnešu laikā saimnieciskā gada ietvaros. Finansējuma saņēmējam avansu sadarbības iestāde var piešķirt līdz 30 procentiem no projekta apstiprinātā kopējā attiecināmā  finansējuma, ievērojot, ka avansu var izmaksāt vairākos maksājumos.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minētās atbalstāmās darbības īstenošanā finansējuma saņēmēja izvēlēts pakalpojuma sniedzējs: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izziņas 28. punktā ir norādīts, ka "</w:t>
            </w:r>
            <w:r w:rsidR="00000000" w:rsidRPr="00000000" w:rsidDel="00000000">
              <w:rPr>
                <w:i w:val="1"/>
                <w:rtl w:val="0"/>
              </w:rPr>
              <w:t xml:space="preserve">pakalpojuma sniedzējus plānots piesaistīt Publisko iepirkumu likuma noteiktajā kārtībā. Minētais finansējuma saņēmēja pienākums noteikts  noteikumu projekta 30.2. apakšpunktā"</w:t>
            </w:r>
            <w:r w:rsidR="00000000" w:rsidRPr="00000000" w:rsidDel="00000000">
              <w:rPr>
                <w:rtl w:val="0"/>
              </w:rPr>
              <w:t xml:space="preserve">, taču noteikumu projekta 30.2. apakšpunkts nenoteic, ka tas attiektos arī uz pakalpojumu sniedzēju piesaistīšanu, kā arī anotācijā nav sniegts atbilstošs skaidrojums. Lūdzam precizēt noteikumu projektu, paredzot, ka pakalpojuma sniedzēji tiks piesaistīti publiskā iepirkuma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iepirkumu līgumi var būt būvdarbu līgumi, pakalpojuma (t.sk., uzņēmumu) līgumi, piegādes (t.sk., pirkumu) līgumi (saskaņā ar Publisko iepirkumu likuma 1. panta 26., 27. un 28. punktu), precizēts noteikumu 25., 26., 28. un 29. punkts, nemainot 30.2. apakšpunkta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minētās atbalstāmās darbības ietvaros finansējuma saņēmējs, tai skaitā īstenojot iepirkumu līgumus, nodrošina: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minētās atbalstāmās darbības īstenošanā finansējuma saņēmēja izvēlēts pakalpojuma sniedzējs: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tiek izvēlēts pakalpojuma sniedzējs, t.i., vai tas tiek izvēlēts uz iepirkumu līguma pamata.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4.3.1.2. pasākuma projekta īstenošanai pakalpojuma sniedzējus plānots piesaistīt Publisko iepirkumu likuma noteiktajā kārtībā. Minētais finansējuma saņēmēja pienākums noteikts  noteikumu projekta 30.2. apakšpunktā.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minētās atbalstāmās darbības ietvaros finansējuma saņēmējs, tai skaitā īstenojot iepirkumu līgumus, nodrošina: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plāno izdevumus tāda nekustamā īpašuma iegādei, kas nav citam atsavināts, ieķīlāts, iznomāts vai nodots lietojumā, kas netiek izmantots kā komersanta juridiskā adrese un tajā nav deklarēta fiziskas vai juridiskas personas adrese, tas nav apgrūtināts ar parādiem vai saistībām un par to nav strīda un tam nav uzlikts aizliegums vai arests, kā arī par nekustamo īpašumu ir samaksāti visi tam piemērojamie nodokļi, kas bija jānomaksā līdz darījuma noslēgšanai;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skaidrot, kas projekta 27.2. apakšpunktā domāts ar frāzi "par to nav strīda". Aicinām skaidrības labad precizēt, par ko tieši nav strīda un kas tieši domāts ar vārdu "strīds" normas izpratnē (proti, vai domāts strīds, kas tiek risināts, piemēram, tiesvedības ceļā) un anotācijā skaidrot, kā finansējuma saņēmējs par to varēs pārliecināties.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strīdi var būt dažāda rakstura, piem., kopīpašuma gadījumā, par nomas tiesībām, kā arī gadījumos, kad par nekustamo īpašumu ir ierosināta tiesvedība. Katrā ziņā nekustamais īpašums tiks iegādāts tikai tad, ja visi īpašnieki piekrīt tā pārdošanai un nav strīda starp šiem īpašniekiem par konkrēto objektu.  Ņemot vērā, ka pārbaudīt to var tik tālu, cik tas ir iespējams, nosacījums noteikumu projektā tiek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plāno izdevumus tāda nekustamā īpašuma iegādei, kas nav citam atsavināts, ieķīlāts, iznomāts vai nodots lietojumā, kas netiek izmantots kā komersanta juridiskā adrese un tajā nav deklarēta fiziskas vai juridiskas personas adrese, tas nav apgrūtināts ar parādiem vai saistībām un tam nav uzlikts aizliegums vai arests, kā arī par nekustamo īpašumu ir samaksāti visi tam piemērojamie nodokļi, kas bija jānomaksā līdz darījuma noslēgšanai;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Šo noteikumu </w:t>
            </w:r>
            <w:r w:rsidR="00000000" w:rsidRPr="00000000" w:rsidDel="00000000">
              <w:rPr>
                <w:rtl w:val="0"/>
              </w:rPr>
              <w:t xml:space="preserve">14.4. </w:t>
            </w:r>
            <w:r w:rsidR="00000000" w:rsidRPr="00000000" w:rsidDel="00000000">
              <w:rPr>
                <w:rtl w:val="0"/>
              </w:rPr>
              <w:t xml:space="preserve">apakšpunktā</w:t>
            </w:r>
            <w:r w:rsidR="00000000" w:rsidRPr="00000000" w:rsidDel="00000000">
              <w:rPr>
                <w:rtl w:val="0"/>
              </w:rPr>
              <w:t xml:space="preserve"> minētās atbalstāmās darbības īstenošanā finansējuma saņēmēja piesaistīts pakalpojuma sniedzējs veic telpu aprīkošanai nepieciešamā materiāltehniskā nodrošinājuma iegādi, tai skaitā mēbeļu, datoru, datorprogrammatūras, tehnisko palīglīdzekļu un citu nepieciešamo ierīču un materiālu iegādi.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materiāltehniskā nodrošinājuma uzskaitījumu, piemēram, norādot vai atbalstāma santehnika uzstādīšana, virtuves sadzīves tehnika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projekts precizēts ar piebildi, ka materiāltehniskais nodrošinājums tiek iegādāts, lai veidotu ģimeniskai videi pietuvinātu pakalpojumu, ar to pieņemot, ka ģimenes mājoklim ir nepieciešamas gan dzīvojamās mēbeles, gan ēdināšanai un higiēnas nodrošināšanai vajadzīgais aprīkojums.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Šo noteikumu </w:t>
            </w:r>
            <w:r w:rsidR="00000000" w:rsidRPr="00000000" w:rsidDel="00000000">
              <w:rPr>
                <w:rtl w:val="0"/>
              </w:rPr>
              <w:t xml:space="preserve">14.4. </w:t>
            </w:r>
            <w:r w:rsidR="00000000" w:rsidRPr="00000000" w:rsidDel="00000000">
              <w:rPr>
                <w:rtl w:val="0"/>
              </w:rPr>
              <w:t xml:space="preserve">apakšpunktā</w:t>
            </w:r>
            <w:r w:rsidR="00000000" w:rsidRPr="00000000" w:rsidDel="00000000">
              <w:rPr>
                <w:rtl w:val="0"/>
              </w:rPr>
              <w:t xml:space="preserve"> minētās atbalstāmās darbības ietvaros finansējuma saņēmējs, tai skaitā īstenojot iepirkumu līgumus, nodrošina telpu aprīkošanai nepieciešamā materiāltehniskā nodrošinājuma, kas nepieciešams ģimeniskai videi pietuvināta pakalpojuma nodrošināšanai, datoru, datorprogrammatūras, tehnisko palīglīdzekļu un citu nepieciešamo ierīču un materiālu iegādi.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publiskos iepirkumus veic saskaņā ar normatīvajiem aktiem publisko iepirkumu jomā, īstenojot konkurenci nodrošinošu, pārredzamu, atklātu, nediskriminējošu konkursa procedūru un, kur tas ir attiecināms un atbilstošs projekta darbības specifikai, īsteno sociāli atbildīgus un inovatīvus iepirkumus;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piemērot zaļo publisko iepirkumu, lai veicinātu Eiropas Zaļā kursa un klimata pārmaiņu mērķu sasniegšanu.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tā 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publiskos iepirkumus veic saskaņā ar normatīvajiem aktiem publisko iepirkumu jomā, īstenojot konkurenci nodrošinošu, pārredzamu, atklātu, nediskriminējošu konkursa procedūru un, kur tas ir attiecināms un atbilstošs projekta darbības specifikai, īstenojot sociāli atbildīgus, inovatīvus un zaļos publiskos iepirkumus;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30.5. novērš dubultfinansēšanas riskus un nodrošina, ka projekta ietvaros atbalstāmās darbības un to izmaksas nav finansētas, netiek finansētas vai līdzfinansētas, kā arī tās nav plānots finansēt vai līdzfinansēt no citiem valsts, pašvaldības vai ārvalstu finanšu palīdzības instrumentiem;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ka, lai nodrošinātu, ka projekta īstenošanas laikā tiek ievēroti interešu konflikta, korupcijas un krāpšanas novēršanas nosacījumi, tiks izstrādāta kārtība, kādā pārliecinās par minēto risku neesamību.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 nosakot, ka finansējuma saņēmējam un sadarbības partneriem projekta īstenošanas laikā jānodrošina, ka tiek ievēroti interešu konflikta, korupcijas un krāpšanas novēršanas nosacījumi. Finansējuma saņēmēja ziņā būs noteikt piemērotāko un efektīvāko veidu, kā to varētu nodrošināt (piem., izstrādājot kārtību un procesa shēmas, kādā pārliecinās par minēto risku neesamību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30.6. novērš dubultfinansēšanas riskus un nodrošina, ka projekta ietvaros atbalstāmās darbības un to izmaksas nav finansētas, netiek finansētas vai līdzfinansētas, kā arī tās nav plānots finansēt vai līdzfinansēt no citiem valsts, pašvaldības vai ārvalstu finanšu palīdzības instrumentiem;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30.6. nodrošina informācijas un publicitātes, kā arī vizuālās identitātes pasākumus atbilstoši regulas Nr. 2021/1060 47. un 50. pantam  un kārtībai, kādā Eiropas Savienības fondu vadībā iesaistītās institūcijas nodrošina šo fondu ieviešanu 2021.–2027. gada plānošanas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30.6. apakšpunktu, aizstājot vārdus un skaitļus "un kārtību, kādā Eiropas Savienības fondu vadībā iesaistītās institūcijas nodrošina šo fondu ieviešanu 2021.–2027. gada plānošanas periodā" ar vārdiem un skaitļiem "un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30.7. nodrošina komunikācijas un vizuālās identitātes prasību nodrošināšanu atbilstoši Regulas Nr. 2021/1060 47. un 50. pantam un normatīvajiem aktiem, kas nosaka kārtību, kādā Eiropas Savienības fondu vadībā iesaistītās institūcijas nodrošina šo fondu ieviešanu 2021.–2027. gada plānošanas periodā;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 nodrošina, ka nekustamais īpašums, kurā par projekta īstenošanai piešķirtajiem līdzekļiem plānots veikt ieguldījumus, ir Labklājības ministrijas valdījumā vai līdz projekta realizācijas beigām tiks nostiprināts zemesgrāmatā uz Labklājības ministrijas vārda;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30.10. apakšpunkta beigu daļu (piemēram, šādi: "tiks nostiprināts zemesgrāmatā uz valsts vārda Labklājības ministrijas personā"), ņemot vērā, ka Labklājības ministrija ir tiešās valsts pārvaldes iestāde, nevis juridiska persona, uz kuras vārda nekustamais īpašums var tikt ierakstīts zemesgrāmatā.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 nodrošina, ka nekustamais īpašums, kurā par projekta īstenošanai piešķirtajiem līdzekļiem plānots veikt ieguldījumus, ir Labklājības ministrijas valdījumā vai līdz projekta realizācijas beigām tiks nostiprināts zemesgrāmatā uz valsts vārda Labklājības ministrijas personā;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 uzkrāj datus par šādu horizontālā principa "Vienlīdzība, iekļaušana, nediskriminācija un pamattiesību ievērošana" horizontālo rādītāju – objektu skaits, kuros ar Eiropas Reģionālā attīstības fonda ieguldījumiem ir nodrošināta vides un informācijas pieejamība;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Finanšu ministrijas 1.4.vadlīniju "Vadlīnijas Ministru kabineta noteikumu par specifiskā atbalsta mērķa īstenošanu izstrādei Eiropas Savienības fondu 2021.—2027. gada plānošanas periodā" 15.punktu, MK noteikumos iekļauj prasības FS horizontālo principu (turpmāk – HP) “Vienlīdzība, iekļaušana, nediskriminācija un pamattiesību ievērošana”, “Klimatdrošināšana” , “Energoefektivitāte pirmajā vietā”  un “Nenodarīt būtisku kaitējumu”  piemērošanai. Tiešas ietekmes uz HP “Vienlīdzība, iekļaušana, nediskriminācija un pamattiesību ievērošana” gadījumā MK noteikumos iekļauj vismaz divus rādītājus, kur rādītājiem nenosaka sasniedzamās vērtības, bet pienākumu uzkrāt un ziņot aktuālās vērtības. Šobrīd MK noteikumu projektā ir paredzēts uzkrāt datus tikai par vienu HP “Vienlīdzība, iekļaušana, nediskriminācija un pamattiesību ievērošana” rādītāju, lūdzam papildināt MK noteikumu projektu ar otru HP “Vienlīdzība, iekļaušana, nediskriminācija un pamattiesību ievērošana” rādītāju.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otru horizontālo principa “Vienlīdzība, iekļaušana, nediskriminācija un pamattiesību ievērošana”  rādītāju - veikto vides un informācijas piekļūstamības pašnovērtējumu skaits, atbilstoši LM izstrādātajai metodikai.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papildināta informācija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30.13. uzkrāj datus par šādiem horizontālā principa "Vienlīdzība, iekļaušana, nediskriminācija un pamattiesību ievērošana" horizontālajiem rādītājiem: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30.15. nodrošina projekta rezultātu ilgtspēju vismaz piecus gadus, izmantojot valsts budžeta finansējumu atbilstoši normatīvajam aktam par maksimāli pieļaujamā valsts budžeta izdevumu kopapjoma un  katrai ministrijai un citai centrālajai valsts iestādei paredzētā izdevumu kopējā apjoma noteikšanas kārtību vidējam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4.2.2. apakšpunktā norādītā rezultāta rādītāja sasniegšanu un tādējādi arī ilgtspēju nodrošinās sadarbības partneri, aicinām papildināt noteikumu projekta 30.15. apakšpunktu vai noteikumu projekta 13. punktu ar sadarbības partneru pienākumu nodrošināt projekta rezultāta rādītāja ilgtspēju.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finansējuma saņēmējs ir atbildīgs tikai par  valsts nekustamo īpašumu, kuri nepieciešami  VSAC pakalpojumu nodrošināšanai, pārvaldīšanu, bet sadarbības partneri nodrošina VSAC pakalpojumu sniegšanu kā labklājības ministra pakļautībā esošas tiešās pārvaldes iestādes un  LM funkcijās ietilpst sociālās aprūpes un sociālās rehabilitācijas pakalpojumu tīkla kvalitatīvas attīstības nodrošināšana, LM ir noteikta kā atbildīgā par projekta rezultātu ilgtspējas nodrošināšanu. Ņemot vērā minēto, noteikumu projekta 31.punktā (jauns punkts) noteikts, ka projekta rezultātu ilgtspēju nodrošinās LM.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noteikumu projekta 31.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30.15. nodrošina projekta rezultātu ilgtspēju vismaz piecus gadus, izmantojot valsts budžeta finansējumu atbilstoši normatīvajam aktam par maksimāli pieļaujamā valsts budžeta izdevumu kopapjoma un  katrai ministrijai un citai centrālajai valsts iestādei paredzētā izdevumu kopējā apjoma noteikšanas kārtību vidējam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projekta 30.15. apakšpunktu, paredzot Finansējuma saņēmējam pienākumu projekta rezultātu ilgtspējas periodā projekta ietvaros radīto infrastruktūru izmantot tikai pakalpojumu sniegšanai noteikumu projekta 3. punktā norādītās mērķa grupas personām.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 nosakot LM kā atbildīgo par projekta rezultātu ilgtspējas nodrošināšanu. Skat. noteikumu projekta precizētās redakcijas 31.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 informācija par mērķa grupu, kurai projekta ietvaros radītajā infrastruktūrā tiks sniegti pakalpojumi, ir iekļauta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30.15. nodrošina projekta rezultātu ilgtspēju vismaz piecus gadus, izmantojot valsts budžeta finansējumu atbilstoši normatīvajam aktam par maksimāli pieļaujamā valsts budžeta izdevumu kopapjoma un  katrai ministrijai un citai centrālajai valsts iestādei paredzētā izdevumu kopējā apjoma noteikšanas kārtību vidējam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30.15.apakšpunktu, nosakot, ka nodrošina projekta rezultātu ilgtspēju vismaz piecus gadus </w:t>
            </w:r>
            <w:r w:rsidR="00000000" w:rsidRPr="00000000" w:rsidDel="00000000">
              <w:rPr>
                <w:u w:val="single"/>
                <w:rtl w:val="0"/>
              </w:rPr>
              <w:t xml:space="preserve">pēc noslēguma maksājuma veikšanas finansējuma saņēmējam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Labklājības ministrija nodrošina projekta rezultātu ilgtspēju vismaz piecus gadus pēc noslēguma maksājuma veikšanas finansējuma saņēmējam, izmantojot projekta ietvaros radīto infrastruktūru ģimeniskai videi pietuvināta pakalpojuma 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Finanšu ministrijas iebildumu, kas atspoguļots izziņas 16.punktā. Atkārtoti lūdzam tiesiskai noteiktībai Labklājības ministriju Ministru kabineta noteikumu projektā noteikt infrastruktūras uzraudzību ieguldījumu amortizācijas periodā, kā arī, ja gadījumā, ja pasākuma ietvaros izveidotā sabiedrībā balstītu sociālo pakalpojumu infrastruktūra amortizācijas periodā kļūst par infrastruktūru, kas saistīta ar saimniecisko darbību, kurai sniegtais atbalsts būtu kvalificējams kā komercdarbības atbalsts, labuma guvējs atmaksā sadarbības iestādei nelikumīgi saņemto atbalstu saskaņā ar Komercdarbības atbalsta kontroles likuma IV vai V nodaļu. Ar atbilstošu skaidrojumu par projektu uzraudzību lūdzam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punktu (32. punkts), kas nosaka uzdevumu finansējuma saņēmējam atmaksāt sadarbības iestādei nelikumīgi saņemto atbalstu saskaņā ar Komercdarbības atbalsta kontroles likuma IV vai V nodaļu gadījumā, ja piecus gadus pēc noslēguma maksājuma veikšanas finansējuma saņēmējam vai ieguldījumu amortizācijas periodā projekta ietvaros izveidotā infrastruktūra kļūst par tādu infrastruktūru, kas saistīta ar saimniecisko darbību. Attiecīgi precizēta arī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Labklājības ministrija nodrošina projekta rezultātu ilgtspēju vismaz piecus gadus pēc noslēguma maksājuma veikšanas finansējuma saņēmējam, izmantojot projekta ietvaros radīto infrastruktūru ģimeniskai videi pietuvināta pakalpojuma sniegšanai.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Pasākuma ietvaros projektu īsteno saskaņā ar vienošanos par projekta īstenošanu, bet ne ilgāk kā līdz 2029.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fondu 2021.—2027. gada plānošanas perioda vadības likuma 18. panta pirmās daļas 1. punktā paredz, ka, ja finansējuma saņēmējs ir </w:t>
            </w:r>
            <w:r w:rsidR="00000000" w:rsidRPr="00000000" w:rsidDel="00000000">
              <w:rPr>
                <w:u w:val="single"/>
                <w:rtl w:val="0"/>
              </w:rPr>
              <w:t xml:space="preserve">fiziskā vai juridiskā persona</w:t>
            </w:r>
            <w:r w:rsidR="00000000" w:rsidRPr="00000000" w:rsidDel="00000000">
              <w:rPr>
                <w:rtl w:val="0"/>
              </w:rPr>
              <w:t xml:space="preserve">, finansējuma saņēmējam ir nodrošināt projekta īstenošanu saskaņā ar Eiropas Savienības un Latvijas Republikas normatīvajiem aktiem un </w:t>
            </w:r>
            <w:r w:rsidR="00000000" w:rsidRPr="00000000" w:rsidDel="00000000">
              <w:rPr>
                <w:u w:val="single"/>
                <w:rtl w:val="0"/>
              </w:rPr>
              <w:t xml:space="preserve">līgumu par projekta īstenošanu</w:t>
            </w:r>
            <w:r w:rsidR="00000000" w:rsidRPr="00000000" w:rsidDel="00000000">
              <w:rPr>
                <w:rtl w:val="0"/>
              </w:rPr>
              <w:t xml:space="preserve">, savukārt, ja finansējuma saņēmējs ir </w:t>
            </w:r>
            <w:r w:rsidR="00000000" w:rsidRPr="00000000" w:rsidDel="00000000">
              <w:rPr>
                <w:u w:val="single"/>
                <w:rtl w:val="0"/>
              </w:rPr>
              <w:t xml:space="preserve">tiešās vai pastarpinātās pārvaldes iestāde</w:t>
            </w:r>
            <w:r w:rsidR="00000000" w:rsidRPr="00000000" w:rsidDel="00000000">
              <w:rPr>
                <w:rtl w:val="0"/>
              </w:rPr>
              <w:t xml:space="preserve">, finansējuma saņēmējam ir pienākums nodrošināt projekta īstenošanu saskaņā ar Eiropas Savienības un Latvijas Republikas normatīvajiem aktiem un </w:t>
            </w:r>
            <w:r w:rsidR="00000000" w:rsidRPr="00000000" w:rsidDel="00000000">
              <w:rPr>
                <w:u w:val="single"/>
                <w:rtl w:val="0"/>
              </w:rPr>
              <w:t xml:space="preserve">vienošanos par projekta īstenošanu</w:t>
            </w:r>
            <w:r w:rsidR="00000000" w:rsidRPr="00000000" w:rsidDel="00000000">
              <w:rPr>
                <w:rtl w:val="0"/>
              </w:rPr>
              <w:t xml:space="preserve">. Attiecīgi lūdzam precizēt projekta 20. un 31. punktu, ņemot vērā, ka ar finansējuma saņēmēju, kas ir privātpersona (proti, VSIA "Šampētera nams"), ir noslēdzams </w:t>
            </w:r>
            <w:r w:rsidR="00000000" w:rsidRPr="00000000" w:rsidDel="00000000">
              <w:rPr>
                <w:u w:val="single"/>
                <w:rtl w:val="0"/>
              </w:rPr>
              <w:t xml:space="preserve">līgums</w:t>
            </w:r>
            <w:r w:rsidR="00000000" w:rsidRPr="00000000" w:rsidDel="00000000">
              <w:rPr>
                <w:rtl w:val="0"/>
              </w:rPr>
              <w:t xml:space="preserve"> par projekta īstenošanu, nevis vienošanās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Pasākuma ietvaros projektu īsteno saskaņā ar līgumu par projekta īstenošanu, bet ne ilgāk kā līdz 2029.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sadaļas apakšsadaļu "Risinājuma apraksts" ar informāciju, ka finansējuma saņēmējs izstrādās kārtību, kādā pārliecinās par interešu konflikta, krāpšanas un korupcijas risku neesamību, tostarp identificē apstākļus, kuri izraisa vai var izraisīt interešu konfliktu un krāpšanas un korupcijas riskus, kas rada apdraudējumu vai kaitējumu projekta īstenošanā, nosaka veicamos pasākumus un izstrādā darbības plānu interešu konflikta un krāpšanas un korupcijas risku preventīvai novēršanai un gadījumiem, kad interešu konflikts, krāpšana vai korupcija ir atklāta.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1.3. sadaļu ar skaidrojumu par to, kā notiks rezultāta rādītāja uzskaite, tostarp norādīt, kāda dokumentācija tiks uzskatīta par pamatojumu rezultāta rādītāja sasniegšanai.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rezultāta rādītājs – </w:t>
            </w:r>
            <w:r w:rsidR="00000000" w:rsidRPr="00000000" w:rsidDel="00000000">
              <w:rPr>
                <w:i w:val="1"/>
                <w:rtl w:val="0"/>
              </w:rPr>
              <w:t xml:space="preserve">personu skaits, kuras izmanto jaunu vai modernizētu sociālās aprūpes iestāžu pakalpojumus, gadā – 120</w:t>
            </w:r>
            <w:r w:rsidR="00000000" w:rsidRPr="00000000" w:rsidDel="00000000">
              <w:rPr>
                <w:rtl w:val="0"/>
              </w:rPr>
              <w:t xml:space="preserve">, uzskaite tiks nodrošināta caur Valsts sociālās politikas monitoringa informatīvās sistēmas (turpmāk - SPOLIS) datiem. Atbilstoši  30.09.2014.  MK noteikumiem Nr. 587 "Valsts sociālās politikas monitoringa informācijas sistēmas noteikumi" (5.5. un 12. punkts) SPOLIS nodrošina personu reģistru, kuras saņem sociālos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personām, kuras saņem valsts finansētus ilgstošas sociālās aprūpes un sociālās rehabilitācijas pakalpojumus tiek uzkrāta SPOLIS. Pēc ģimeniskai videi pietuvinātu aprūpes pakalpojumu sniegšanas vietu izveides pieeju informācijas uzkrāšanā par pakalpojumu saņēmējiem nav plānots mainīt. Līdz ar to dokuments, kas pamatos rezultāta rādītāja sasniegšanu, t.i., personu skaitu, kuras saņem pakalpojumus jaunizveidotajās sociālo pakalpojumu sniegšanas vietās, būs no SPOLIS izgūta informācija par personām, kuras saņem pakalpojumu konkrētajā pakalpojuma sniegšanas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attiecīgu informāciju ir papildināta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LM paralēli arī pārskatīs informāciju, kas šobrīd norādīta rādītāju metodoloģijā, nepārprotamībai norādot arī šobrīd izziņā sniegto informāciju, kas liecinās, kad noteiktais rādītājs ir uzskatāms par sasniedzamu. Priekšlikumu izmaiņām iesniegs tuvākajā laikā FM.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sniegto informāciju attiecībā uz darba vietas aprīkojuma izmaksām un, lai trešajai pusei būtu izsekojami, aicinām precīzāk norādīt, ka tas attiecas uz darbiniekiem, kam paredzēta daļlaika principa noslodze.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paredzot darba vietas aprīkojuma izmaksas darbiniekiem, kuriem ir daļlaika noslodze, tiks ievērots Vadlīniju Nr.1.2. “Vadlīnijas attiecināmo izmaksu noteikšanai Eiropas Savienības kohēzijas politikas programmas 2021. – 2027.gada plānošanas periodā” 33. punktā noteiktais, tai skaitā ņemts vērā nodarbinātā iesaistes periods projektā pret projekta kopējo īstenošanas ilgumu.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anotācijas rindkopu </w:t>
            </w:r>
            <w:r w:rsidR="00000000" w:rsidRPr="00000000" w:rsidDel="00000000">
              <w:rPr>
                <w:i w:val="1"/>
                <w:rtl w:val="0"/>
              </w:rPr>
              <w:t xml:space="preserve">"Vērtējot 4.3.1.2. pasākuma projekta izmaksu un ieguvumu analīzes veikšana pēc sadarbības iestādes tīmekļvietnē ievietotās Izmaksu un ieguvumu analīzes aprēķinu modeļa aizpildīšanas metodikas, secināms, ka nav piemērojami tur norādītie pamatprincipi, piemēram: </w:t>
            </w:r>
            <w:r w:rsidR="00000000" w:rsidRPr="00000000" w:rsidDel="00000000">
              <w:rPr>
                <w:i w:val="1"/>
                <w:rtl w:val="0"/>
              </w:rPr>
              <w:t xml:space="preserve">- projektiem ir jāpamato ES finansējuma apmērs un nepieciešamība;</w:t>
            </w:r>
            <w:r w:rsidR="00000000" w:rsidRPr="00000000" w:rsidDel="00000000">
              <w:rPr>
                <w:i w:val="1"/>
                <w:rtl w:val="0"/>
              </w:rPr>
              <w:t xml:space="preserve">- jāaprēķina projekta investīciju finansiālais ienesīgums un kapitāla finansiālais ienesīgums.</w:t>
            </w:r>
            <w:r w:rsidR="00000000" w:rsidRPr="00000000" w:rsidDel="00000000">
              <w:rPr>
                <w:i w:val="1"/>
                <w:rtl w:val="0"/>
              </w:rPr>
              <w:t xml:space="preserve">ES finansējuma apmēra un nepieciešamības pamatošana esošajā pasākuma īstenošanas stadijā nav lietderīga, jo projekta īstenošana jau ir uzsākta un tā īstenošanas nosacījumi jau ir apstiprināti informatīvajā ziņojumā. Savukārt finansiālā ienesīguma un kapitāla ienesīguma aprēķins šim projektam nav piemērojams, jo projekta darbības paredz infrastruktūras izveidi tādam sociālajam pakalpojuma, kura nodrošināšanas izmaksas tiek segtas no valsts budžeta (tas ir valsts finansēts ilgstošas sociālās aprūpes un sociālās rehabilitācijas institūciju pakalpojums saskaņā ar Sociālo pakalpojumu un sociālās palīdzības likuma 9.1 panta pirmo daļu)."</w:t>
            </w:r>
            <w:r w:rsidR="00000000" w:rsidRPr="00000000" w:rsidDel="00000000">
              <w:rPr>
                <w:rtl w:val="0"/>
              </w:rPr>
              <w:t xml:space="preserve"> jaunā redakcijā, jo tā satur neatbilstošus secinājumus. Proti, izmaksu un ieguvumu analīzes pamatprincips ieņēmumus negūstošiem projektiem ir - aprēķināt projekta sociālekonomiskos ieguvumus, kurus var aprēķināt arī šī projekta gadījumā, un šādu iespēju paredz arī sadarbības iestādes izmaksu un ieguvumu analīzes aprēķinu modelis. Tomēr, piekrītot, ka jau uzsāktam projektam izmaksu ieguvumu analīzes veikšana šobrīd vairs nav lietderīga, lūdzam precizēt minēto rindkopu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anotācijas 1.6.apakšsadaļā "Cita informācija" lūdzam teikumu "Ņemot vērā minēto, nav iespēja veikt izvērtējumu par izmaksu un ieguvumu analīzi." izteikt jaunā redakcijā "Ņemot vērā minēto, nav lietderīgi veikt izmaksu un ieguvumu analīzi."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"Izmaksu un ieguvumu analīzes aprēķinu izstrāde  esošajā pasākuma īstenošanas stadijā nav lietderīga, jo projekta īstenošana jau ir uzsākta un tā īstenošanas nosacījumi jau ir apstiprināti informatīvajā ziņojumā."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vai plānotajām investīcijām būs tieša, netieša, vai nebūs ietekmes uz horizontālajiem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“Klimatdrošināšana”;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“Energoefektivitāte pirmajā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8.2.sadaļa papildināta, norādot, ka 4.3.1.2.pasākuma investīcijām ir netieša ietekme uz horizontālajiem principiem "Klimatdrošināšana" un "Energoefektivitāte pirmajā vietā".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ieguldījumi plānoti saskaņā ar Jauno Eiropas Bauhaus iniciatīvu, ņemot vērā, ka noteikumu projekts paredz ieguldījumus jaunā būvniecībā.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anotācijā ietverto apgalvojumu "VSIA “Šampētera nams” ir Labklājības ministrijas kapitālsabiedrība", tā vietā norādot, ka VSIA "Šampētera nams" ir valsts kapitālsabiedrība, kurā Labklājības ministrija ir valsts kapitāla daļu turētāja.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konkrētiem attiecīgās prioritātes un fonda specifisko atbalsta mērķi, kuru ietvaros tiks noteikts elastības finansējums saskaņā ar Finanšu ministrijas 1.4.vadlīnijām "Vadlīnijas Ministru kabineta noteikumu par specifiskā atbalsta mērķa īstenošanu izstrādei Eiropas Savienības fondu 2021.—2027. gada plānošanas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punkta "Problēmas apraksts" otrajā rindkopā skaitļus un vārdus "2014.-2020.gada ES fondu" aizstāt ar vārdiem un skaitļiem "ES struktūrfondu un Kohēzijas fondu 2014.-2020.gada plānošanas periodā, kā arī anotācijas turpmākajā tekstā, kur attiecināms. Vienlaicīgi lūdzam arī aizstāt skaitļus un vārdus "2021. – 2027. gada plānošanas perioda ES fondu" ar skaitļiem un vārdiem "ES fondu 2021. – 2027. gada plānošanas perioda" anotācijas 1.3. punkta "Risinājuma apraksts" pirmajā rindkopā kā arī turpmākajā anotācijas tekstā, kur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risinājuma aprakstā nav saprotams, vai uz mērķa grupu -personas no 18 līdz 25 gadiem ar smagiem un ļoti smagiem garīga rakstura traucējumiem - attiecināms kritērijs par atrašanos valsts sociālās aprūpes centrā, vai arī šai mērķa grupai atbalsts plānots, neatkarīgi no personu dzīvesvietas. Lūgums atbilstoši precizēt anotāciju un nepieciešamības gadījumā noteikumu projekta 4.3.1.2.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tā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Pašreizējās situācijas aprakstu nepieciešams papildināt ar ziņām par bērnu skaitu, kam aprūpi nodrošina ar trešo ārpusģimenes aprūpes veidu - ilgstošas sociālās aprūpes un sociālās rehabilitācijas institūcijās pašvaldībās un citās organizācijās. Lai arī anotācijas 1.3. daļas trešajā rindkopā pieminēti valsts sociālās aprūpes centri un tajos ievietoto bērnu skaits, neietverot ziņas par bērnu skaitu pašvaldību un citu organizāciju iestādēs, kā arī pašvaldību un citu organizāciju pilngadīgu personu sociālās aprūpes centros, situācijas raksturojums ir nepilnīgs. Līdz ar to lūdzam attiecīgi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lietot Civillikuma Ģimenes tiesību daļai atbilstošu terminu - aizbildnība.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2.1. sadaļas apakšsadaļu "Juridiskās personas" ar norādi uz Labklājības ministriju, kā arī papildināt atbilstošo apakšsadaļu "Ietekmes apraksts" ar informāciju, ka Labklājības ministrija pildīs atbildīgās iestādes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spēkā esošajiem normatīvajiem aktiem pieprasījumu apropriācijas izmaiņām sniedz ministrijas, lūdzam precizēt anotācijas 3.sadaļas punktā “Cita informācija” sniegto informāciju, vārdu “sadarbības iestāde” vietā lietojot vārdus “Finanšu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3. sadaļa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sniegto informāciju (izņemot pēdējo rindkopu) pārcelt uz minētās sadaļas 6.punktu “Detalizēts ieņēmumu un izdevumu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3.sadaļas 3., 5. un 7.ailes 5.1.apakšpunktu.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3.sadaļa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norādīt ministriju, kuras budžeta ietvaros tiks plānots noteikumu projektā 4.3.1.2.pasākumam paredzētais finansējums, vienlaikus norādot attiecīgo apakšprogrammu.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3. sadaļas 6. punkts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5.1. punktā "ES tiesību akta datums, izdevējinstitūcija, numurs, veids un nosaukums" aizstāt vārdus un skaitļus "Eiropas Parlamenta un Padomes 2021. gada 24. jūnija Regula Nr. 2021/1060" ar vārdiem un skaitļiem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Regula 2021/106)" , kā arī anotācijas 5.4. 1. tabulā "Tiesību akta projekta atbilstība ES tiesību aktiem", kā arī aizstāt vārdus un skaitļu "Eiropas Parlamenta un Padomes regula Nr. 2018/1046" ar vārdiem un skaitļiem "Eiropas Parlamenta un Padomes Regula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5. sadaļa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anotācijas 5.4. sadaļas 1. tabulā ietverto informāciju, tostarp attiecīgajās tabulas sadaļās ietverot korektas atsauces uz regulām un noteikumu projekta apakšpunktiem.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5.4. sadaļas 1. tabula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pēc nepieciešamības svītrot anotācijas 6. sadaļas apakšsadaļā "Valsts un pašvaldību institūcijas" norādi uz Centrālo finanšu un līgumu aģentūru.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Norāde uz Centrālo finanšu un līgumu aģentūru ir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sadaļu "Nevalstiskās organizācijas". Lūdzam papildināt anotāciju ar informāciju par biedrību un nodibinājumu iesaisti, nevalstisko organizāciju iesaisti MK noteikumu projekta izstrādē, lai nodrošinātu atbilstību Ministru prezidenta rezolūcijā* noteiktajam vai skaidrot, kāpēc iesaiste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Ministru prezidenta 2021. gada 7. septembra rezolūciju Nr. 2021-1.1.1./50-50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specifisko atbalsta mērķu un to pasākumu ieviešanas nosacījumus Eiropas Savienības fondu 2021.—2027.gada plānošanas perioda atbalsta saņemšanai institūcijas atbildībā esošajās jomās, lūdzu jēgpilni iesaistīt attiecīgajā jomā strādājošās biedrības un nodibinājumus. Pēc specifisko atbalsta mērķu un to pasākumu ieviešanas nosacījumu apstiprināšanas Ministru kabinetā, lūdzu sagatavot un sniegt informāciju par sabiedrības pārstāvju iesaisti normatīvā regulējuma izstrādē Nevalstisko organizāciju un Ministru kabineta sadarbības memoranda īstenošanas padomes sekretariātam (uz e-pastu: nvo@mk.gov.lv)."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6.1. sadaļa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anotācijas 7.1. punkts "Projekta izpildē iesaistītās institūcijas" ir papildināms ar "Labklājības ministrija" un "Centrālā finanšu un līgumu aģentūra", ja attiecināms, lūdzam veikt atbilstoši papildinājumu.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22-TA-3727</w:t>
    </w:r>
    <w:r>
      <w:br/>
    </w:r>
    <w:r w:rsidR="00000000" w:rsidRPr="00000000" w:rsidDel="00000000">
      <w:rPr>
        <w:rtl w:val="0"/>
      </w:rPr>
      <w:t xml:space="preserve">17.11.2023. 09.38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22-TA-3727</w:t>
    </w:r>
    <w:r>
      <w:br/>
    </w:r>
    <w:r w:rsidR="00000000" w:rsidRPr="00000000" w:rsidDel="00000000">
      <w:rPr>
        <w:rtl w:val="0"/>
      </w:rPr>
      <w:t xml:space="preserve">17.11.2023. 09.38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Izziņa_22-TA-3727.docx</dc:title>
</cp:coreProperties>
</file>

<file path=docProps/custom.xml><?xml version="1.0" encoding="utf-8"?>
<Properties xmlns="http://schemas.openxmlformats.org/officeDocument/2006/custom-properties" xmlns:vt="http://schemas.openxmlformats.org/officeDocument/2006/docPropsVTypes"/>
</file>