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85" w:type="dxa"/>
        <w:tblCellMar>
          <w:left w:w="0" w:type="dxa"/>
          <w:right w:w="0" w:type="dxa"/>
        </w:tblCellMar>
        <w:tblLook w:val="00A0" w:firstRow="1" w:lastRow="0" w:firstColumn="1" w:lastColumn="0" w:noHBand="0" w:noVBand="0"/>
      </w:tblPr>
      <w:tblGrid>
        <w:gridCol w:w="9085"/>
      </w:tblGrid>
      <w:tr w:rsidR="006C5A7A" w14:paraId="380BB25C" w14:textId="77777777" w:rsidTr="006C5A7A">
        <w:tc>
          <w:tcPr>
            <w:tcW w:w="9085" w:type="dxa"/>
          </w:tcPr>
          <w:tbl>
            <w:tblPr>
              <w:tblW w:w="5000" w:type="pct"/>
              <w:tblCellMar>
                <w:left w:w="0" w:type="dxa"/>
                <w:right w:w="0" w:type="dxa"/>
              </w:tblCellMar>
              <w:tblLook w:val="00A0" w:firstRow="1" w:lastRow="0" w:firstColumn="1" w:lastColumn="0" w:noHBand="0" w:noVBand="0"/>
            </w:tblPr>
            <w:tblGrid>
              <w:gridCol w:w="5678"/>
              <w:gridCol w:w="3407"/>
            </w:tblGrid>
            <w:tr w:rsidR="006C5A7A" w:rsidRPr="00231FB0" w14:paraId="5A843C08" w14:textId="77777777" w:rsidTr="006C5A7A">
              <w:tc>
                <w:tcPr>
                  <w:tcW w:w="3125" w:type="pct"/>
                  <w:tcBorders>
                    <w:top w:val="nil"/>
                    <w:left w:val="nil"/>
                    <w:bottom w:val="nil"/>
                    <w:right w:val="nil"/>
                  </w:tcBorders>
                </w:tcPr>
                <w:p w14:paraId="0B743C70" w14:textId="77777777" w:rsidR="006C5A7A" w:rsidRDefault="006C5A7A" w:rsidP="006C5A7A">
                  <w:pPr>
                    <w:keepLines/>
                    <w:autoSpaceDE w:val="0"/>
                    <w:autoSpaceDN w:val="0"/>
                    <w:adjustRightInd w:val="0"/>
                    <w:spacing w:after="0" w:line="400" w:lineRule="auto"/>
                    <w:ind w:right="113"/>
                    <w:rPr>
                      <w:rFonts w:ascii="Tms Rmn" w:hAnsi="Tms Rmn"/>
                      <w:sz w:val="24"/>
                      <w:szCs w:val="24"/>
                    </w:rPr>
                  </w:pPr>
                </w:p>
                <w:p w14:paraId="053F440C" w14:textId="77777777" w:rsidR="006C5A7A" w:rsidRPr="00231FB0" w:rsidRDefault="006C5A7A" w:rsidP="006C5A7A">
                  <w:pPr>
                    <w:keepLines/>
                    <w:autoSpaceDE w:val="0"/>
                    <w:autoSpaceDN w:val="0"/>
                    <w:adjustRightInd w:val="0"/>
                    <w:spacing w:after="0" w:line="240" w:lineRule="auto"/>
                    <w:ind w:right="113"/>
                    <w:rPr>
                      <w:rFonts w:ascii="Times New Roman" w:hAnsi="Times New Roman" w:cs="Times New Roman"/>
                      <w:color w:val="000000"/>
                      <w:sz w:val="24"/>
                      <w:szCs w:val="24"/>
                    </w:rPr>
                  </w:pPr>
                  <w:r w:rsidRPr="00231FB0">
                    <w:rPr>
                      <w:rFonts w:ascii="Times New Roman" w:hAnsi="Times New Roman" w:cs="Times New Roman"/>
                      <w:color w:val="000000"/>
                      <w:sz w:val="24"/>
                      <w:szCs w:val="24"/>
                    </w:rPr>
                    <w:t>Rīgā</w:t>
                  </w:r>
                </w:p>
                <w:p w14:paraId="67222C0A" w14:textId="77777777" w:rsidR="006C5A7A" w:rsidRPr="00231FB0" w:rsidRDefault="006C5A7A" w:rsidP="006C5A7A">
                  <w:pPr>
                    <w:keepLines/>
                    <w:autoSpaceDE w:val="0"/>
                    <w:autoSpaceDN w:val="0"/>
                    <w:adjustRightInd w:val="0"/>
                    <w:spacing w:after="0" w:line="240" w:lineRule="auto"/>
                    <w:ind w:right="113"/>
                    <w:rPr>
                      <w:rFonts w:ascii="Times New Roman" w:hAnsi="Times New Roman" w:cs="Times New Roman"/>
                      <w:color w:val="000000"/>
                      <w:sz w:val="24"/>
                      <w:szCs w:val="24"/>
                    </w:rPr>
                  </w:pPr>
                  <w:r w:rsidRPr="00231FB0">
                    <w:rPr>
                      <w:rFonts w:ascii="Times New Roman" w:hAnsi="Times New Roman" w:cs="Times New Roman"/>
                      <w:color w:val="000000"/>
                      <w:sz w:val="24"/>
                      <w:szCs w:val="24"/>
                    </w:rPr>
                    <w:t>Datumu skatīt dokumenta paraksta laika zīmogā.</w:t>
                  </w:r>
                </w:p>
                <w:p w14:paraId="250077DE" w14:textId="77777777" w:rsidR="006C5A7A" w:rsidRPr="00231FB0" w:rsidRDefault="006C5A7A" w:rsidP="006C5A7A">
                  <w:pPr>
                    <w:keepLines/>
                    <w:autoSpaceDE w:val="0"/>
                    <w:autoSpaceDN w:val="0"/>
                    <w:adjustRightInd w:val="0"/>
                    <w:spacing w:after="0" w:line="240" w:lineRule="auto"/>
                    <w:ind w:right="113"/>
                    <w:rPr>
                      <w:rFonts w:ascii="Times New Roman" w:hAnsi="Times New Roman" w:cs="Times New Roman"/>
                      <w:color w:val="000000"/>
                      <w:sz w:val="24"/>
                      <w:szCs w:val="24"/>
                    </w:rPr>
                  </w:pPr>
                  <w:r w:rsidRPr="00231FB0">
                    <w:rPr>
                      <w:rFonts w:ascii="Times New Roman" w:hAnsi="Times New Roman" w:cs="Times New Roman"/>
                      <w:color w:val="000000"/>
                      <w:sz w:val="24"/>
                      <w:szCs w:val="24"/>
                    </w:rPr>
                    <w:t>Nr. 01VD00-12/1152</w:t>
                  </w:r>
                </w:p>
              </w:tc>
              <w:tc>
                <w:tcPr>
                  <w:tcW w:w="1875" w:type="pct"/>
                  <w:tcBorders>
                    <w:top w:val="nil"/>
                    <w:left w:val="nil"/>
                    <w:bottom w:val="nil"/>
                    <w:right w:val="nil"/>
                  </w:tcBorders>
                </w:tcPr>
                <w:p w14:paraId="1E033945" w14:textId="77777777" w:rsidR="006C5A7A" w:rsidRPr="00231FB0" w:rsidRDefault="006C5A7A" w:rsidP="006C5A7A">
                  <w:pPr>
                    <w:keepLines/>
                    <w:autoSpaceDE w:val="0"/>
                    <w:autoSpaceDN w:val="0"/>
                    <w:adjustRightInd w:val="0"/>
                    <w:spacing w:after="0" w:line="240" w:lineRule="auto"/>
                    <w:jc w:val="right"/>
                    <w:rPr>
                      <w:rFonts w:ascii="Times New Roman" w:hAnsi="Times New Roman" w:cs="Times New Roman"/>
                      <w:color w:val="000000"/>
                      <w:sz w:val="24"/>
                      <w:szCs w:val="24"/>
                    </w:rPr>
                  </w:pPr>
                </w:p>
                <w:p w14:paraId="7CB8D9B0" w14:textId="77777777" w:rsidR="006C5A7A" w:rsidRPr="00231FB0" w:rsidRDefault="006C5A7A" w:rsidP="006C5A7A">
                  <w:pPr>
                    <w:keepLines/>
                    <w:autoSpaceDE w:val="0"/>
                    <w:autoSpaceDN w:val="0"/>
                    <w:adjustRightInd w:val="0"/>
                    <w:spacing w:after="0" w:line="240" w:lineRule="auto"/>
                    <w:jc w:val="right"/>
                    <w:rPr>
                      <w:rFonts w:ascii="Times New Roman" w:hAnsi="Times New Roman" w:cs="Times New Roman"/>
                      <w:color w:val="000000"/>
                      <w:sz w:val="24"/>
                      <w:szCs w:val="24"/>
                    </w:rPr>
                  </w:pPr>
                  <w:r w:rsidRPr="00231FB0">
                    <w:rPr>
                      <w:rFonts w:ascii="Times New Roman" w:hAnsi="Times New Roman" w:cs="Times New Roman"/>
                      <w:color w:val="000000"/>
                      <w:sz w:val="24"/>
                      <w:szCs w:val="24"/>
                    </w:rPr>
                    <w:t>Valsts kanceleja</w:t>
                  </w:r>
                  <w:r w:rsidRPr="00231FB0">
                    <w:rPr>
                      <w:rFonts w:ascii="Times New Roman" w:hAnsi="Times New Roman" w:cs="Times New Roman"/>
                      <w:color w:val="000000"/>
                      <w:sz w:val="24"/>
                      <w:szCs w:val="24"/>
                    </w:rPr>
                    <w:br/>
                    <w:t>pasts@mk.gov.lv</w:t>
                  </w:r>
                </w:p>
              </w:tc>
            </w:tr>
          </w:tbl>
          <w:p w14:paraId="1DFFEBEE" w14:textId="77777777" w:rsidR="006C5A7A" w:rsidRPr="00231FB0" w:rsidRDefault="006C5A7A" w:rsidP="006C5A7A">
            <w:pPr>
              <w:keepLines/>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85"/>
            </w:tblGrid>
            <w:tr w:rsidR="006C5A7A" w:rsidRPr="00231FB0" w14:paraId="7EA5A1D8" w14:textId="77777777" w:rsidTr="006C5A7A">
              <w:tc>
                <w:tcPr>
                  <w:tcW w:w="5000" w:type="pct"/>
                  <w:tcBorders>
                    <w:top w:val="nil"/>
                    <w:left w:val="nil"/>
                    <w:bottom w:val="nil"/>
                    <w:right w:val="nil"/>
                  </w:tcBorders>
                </w:tcPr>
                <w:p w14:paraId="7E0AC7F3" w14:textId="77777777" w:rsidR="006C5A7A" w:rsidRPr="00231FB0" w:rsidRDefault="006C5A7A" w:rsidP="006C5A7A">
                  <w:pPr>
                    <w:keepLines/>
                    <w:autoSpaceDE w:val="0"/>
                    <w:autoSpaceDN w:val="0"/>
                    <w:adjustRightInd w:val="0"/>
                    <w:spacing w:after="0" w:line="240" w:lineRule="auto"/>
                    <w:rPr>
                      <w:rFonts w:ascii="Times New Roman" w:hAnsi="Times New Roman" w:cs="Times New Roman"/>
                      <w:color w:val="000000"/>
                      <w:sz w:val="24"/>
                      <w:szCs w:val="24"/>
                    </w:rPr>
                  </w:pPr>
                  <w:r w:rsidRPr="00231FB0">
                    <w:rPr>
                      <w:rFonts w:ascii="Times New Roman" w:hAnsi="Times New Roman" w:cs="Times New Roman"/>
                      <w:color w:val="000000"/>
                      <w:sz w:val="24"/>
                      <w:szCs w:val="24"/>
                    </w:rPr>
                    <w:t>Viedoklis sabiedriskajā apspriešanā par likumprojektu Nr.23-TA-1130</w:t>
                  </w:r>
                </w:p>
              </w:tc>
            </w:tr>
          </w:tbl>
          <w:p w14:paraId="333EE351" w14:textId="77777777" w:rsidR="006C5A7A" w:rsidRPr="00231FB0" w:rsidRDefault="006C5A7A" w:rsidP="006C5A7A">
            <w:pPr>
              <w:keepLines/>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85"/>
            </w:tblGrid>
            <w:tr w:rsidR="006C5A7A" w:rsidRPr="00231FB0" w14:paraId="40A916F7" w14:textId="77777777" w:rsidTr="006C5A7A">
              <w:tc>
                <w:tcPr>
                  <w:tcW w:w="5000" w:type="pct"/>
                  <w:tcBorders>
                    <w:top w:val="nil"/>
                    <w:left w:val="nil"/>
                    <w:bottom w:val="nil"/>
                    <w:right w:val="nil"/>
                  </w:tcBorders>
                </w:tcPr>
                <w:p w14:paraId="0EA35A0B"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Latvijas nacionālajās interesēs ir nodrošināt Latvijas valsts kapitālsabiedrībām līdzvērtīgus konkurences apstākļus ar ārvalstu valsts kapitāla komersantiem un sekmēt Latvijas valsts kapitālsabiedrību ilgtspējīgu izaugsmi, ieguldījumus inovācijās un eksportspējā un maksimālu vērtības palielināšanu Latvijas sabiedrībai. Arī 2022. gada 15.septembrī Ministru kabinetā izskatītais un atbalstītais "Konceptuālais ziņojums par publisku personu kapitālsabiedrību un publisku personu kapitāla daļu pārvaldības politikas nepieciešamajām izmaiņām"</w:t>
                  </w:r>
                  <w:hyperlink r:id="rId6" w:anchor="_ftn1" w:history="1">
                    <w:r w:rsidRPr="00231FB0">
                      <w:rPr>
                        <w:rFonts w:ascii="Times New Roman" w:hAnsi="Times New Roman" w:cs="Times New Roman"/>
                        <w:color w:val="000000"/>
                        <w:sz w:val="24"/>
                        <w:szCs w:val="24"/>
                        <w:u w:val="single"/>
                        <w:vertAlign w:val="superscript"/>
                      </w:rPr>
                      <w:t>[1]</w:t>
                    </w:r>
                  </w:hyperlink>
                  <w:r w:rsidRPr="00231FB0">
                    <w:rPr>
                      <w:rFonts w:ascii="Times New Roman" w:hAnsi="Times New Roman" w:cs="Times New Roman"/>
                      <w:color w:val="000000"/>
                      <w:sz w:val="24"/>
                      <w:szCs w:val="24"/>
                    </w:rPr>
                    <w:t xml:space="preserve"> (turpmāk – Konceptuālais ziņojums), atsaucoties uz OECD Valsts kapitālsabiedrību korporatīvās pārvaldības vadlīnijām, šo viedokli apstiprina – "valsts līdzdalības nolūkam kapitālsabiedrībās jābūt sabiedriskā labuma paaugstināšanai, efektīvi izvietojot un pārraugot resursus".</w:t>
                  </w:r>
                </w:p>
                <w:p w14:paraId="2BC213A4"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 xml:space="preserve">Konceptuālajā ziņojumā tā autori, atsaucoties uz Nacionālās attīstības plānu, uzsver, ka uzņēmumu produktivitāte un konkurētspēja dinamiskas globālās ekonomikas attīstības periodā ir atkarīga no uzņēmuma spējas inovācijas rezultātā radīt un pārdot augstas pievienotās vērtības eksportējamus produktus un pakalpojumus, piesaistīt investīcijas tehnoloģiju un iekārtu modernizēšanai, celt darba ražīgumu, ieviešot inovatīvas tehnoloģijas, kā arī spēja rast jaunus tirgus. Lai šo uzstādījumu īstenotu, publiskas personas (valsts) kapitālsabiedrībām (turpmāk – VKS) ir jābūt iespējai efektīvi pieņemt lēmumus un izmantot to rīcībā esošos līdzekļus, lai sniegtu sabiedrībai augstāko labumu no efektīvas resursu pārvaldības. Kā indikators tam, ka līdz šim VKS pārvaldības politikā ir nepilnības, ir Konceptuālajā ziņojumā uzrādītie konstatētie trūkumi esošajā VKS pārvaldības politikā, kur cita starpā minēti – neīstenoti uzņēmumu pirkšanas darījumi, kā arī atsevišķās VKS lieli uzkrājumi, kas netiek izmantoti. </w:t>
                  </w:r>
                </w:p>
                <w:p w14:paraId="4F784488"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Iepazīstoties ar piedāvātajiem Publiskas personas kapitāla daļu un kapitālsabiedrību pārvaldības likuma (turpmāk – Pārvaldības likums) grozījumiem, konstatējam, ka arī pēc Pārvaldības likuma grozījumiem VKS joprojām būs zaudētājas konkurējošā tirgū, sacenšoties ar privātiem tirgus spēlētājiem, uz kuriem attiecināmas atšķirīgas, krietni zemākas prasības identiskās nozarēs. Neraugoties uz augstajām prasībām pārvaldības procesiem un pārvaldības institūciju locekļiem, patstāvīgu un operatīvu lēmumu (kas ir būtiski konkurences apstākļos) iespējas VKS turpinās būt ļoti ierobežotas.</w:t>
                  </w:r>
                </w:p>
                <w:p w14:paraId="53E9F9F6"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lastRenderedPageBreak/>
                    <w:t>Šobrīd un arī pēc piedāvātajiem grozījumiem lēmumu pieņemšanas procedūra VKS ir sarežģītāka un daudz vairāk līmeņos (valde, padome, kapitāla daļu turētājs, valsts kanceleja (bij. PKC), MK) nekā privātiem komersantiem attīstības projektiem nozīmīgos jautājumos, līdz ar to arī smagnējāka un lēnāka. Jo īpaši:</w:t>
                  </w:r>
                </w:p>
                <w:p w14:paraId="52272310" w14:textId="77777777" w:rsidR="006C5A7A" w:rsidRPr="00231FB0" w:rsidRDefault="006C5A7A" w:rsidP="006C5A7A">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     Uzņēmumu un kapitāldaļu iegūšanā;</w:t>
                  </w:r>
                </w:p>
                <w:p w14:paraId="42790EB4" w14:textId="77777777" w:rsidR="006C5A7A" w:rsidRPr="00231FB0" w:rsidRDefault="006C5A7A" w:rsidP="006C5A7A">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     Aizdevumu un garantiju izsniegšanā meitas sabiedrībām.</w:t>
                  </w:r>
                </w:p>
                <w:p w14:paraId="3935ECD4"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 xml:space="preserve"> </w:t>
                  </w:r>
                </w:p>
                <w:p w14:paraId="64CB47E5"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Konceptuālā ziņojuma autori atsaucas uz OECD sagatavoto skaidrojumu par valsts īpašumtiesību funkcijas īstenošanu</w:t>
                  </w:r>
                  <w:hyperlink r:id="rId7" w:anchor="_ftn2" w:history="1">
                    <w:r w:rsidRPr="00231FB0">
                      <w:rPr>
                        <w:rFonts w:ascii="Times New Roman" w:hAnsi="Times New Roman" w:cs="Times New Roman"/>
                        <w:color w:val="000000"/>
                        <w:sz w:val="24"/>
                        <w:szCs w:val="24"/>
                        <w:u w:val="single"/>
                        <w:vertAlign w:val="superscript"/>
                      </w:rPr>
                      <w:t>[2]</w:t>
                    </w:r>
                  </w:hyperlink>
                  <w:r w:rsidRPr="00231FB0">
                    <w:rPr>
                      <w:rFonts w:ascii="Times New Roman" w:hAnsi="Times New Roman" w:cs="Times New Roman"/>
                      <w:color w:val="000000"/>
                      <w:sz w:val="24"/>
                      <w:szCs w:val="24"/>
                    </w:rPr>
                    <w:t>, kur OECD skaidro, ka labas korporatīvās pārvaldības standartiem atbilst četru līmeņu "</w:t>
                  </w:r>
                  <w:proofErr w:type="spellStart"/>
                  <w:r w:rsidRPr="00231FB0">
                    <w:rPr>
                      <w:rFonts w:ascii="Times New Roman" w:hAnsi="Times New Roman" w:cs="Times New Roman"/>
                      <w:color w:val="000000"/>
                      <w:sz w:val="24"/>
                      <w:szCs w:val="24"/>
                    </w:rPr>
                    <w:t>komandķēdes</w:t>
                  </w:r>
                  <w:proofErr w:type="spellEnd"/>
                  <w:r w:rsidRPr="00231FB0">
                    <w:rPr>
                      <w:rFonts w:ascii="Times New Roman" w:hAnsi="Times New Roman" w:cs="Times New Roman"/>
                      <w:color w:val="000000"/>
                      <w:sz w:val="24"/>
                      <w:szCs w:val="24"/>
                    </w:rPr>
                    <w:t>" izveidošana, attiecīgi nodalot lēmumu pieņemšanas kompetenci:</w:t>
                  </w:r>
                </w:p>
                <w:p w14:paraId="659215F3" w14:textId="77777777" w:rsidR="006C5A7A" w:rsidRPr="00231FB0" w:rsidRDefault="006C5A7A" w:rsidP="006C5A7A">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 xml:space="preserve">1) Valdība – pārvaldības politiku jāveido valdībai koleģiāli. Tajā jāparedz valsts līdzdalības VKS pamats (mērķi), virzieni, kā valdība redz šo mērķu īstenošanu un specifiskas </w:t>
                  </w:r>
                  <w:proofErr w:type="spellStart"/>
                  <w:r w:rsidRPr="00231FB0">
                    <w:rPr>
                      <w:rFonts w:ascii="Times New Roman" w:hAnsi="Times New Roman" w:cs="Times New Roman"/>
                      <w:color w:val="000000"/>
                      <w:sz w:val="24"/>
                      <w:szCs w:val="24"/>
                    </w:rPr>
                    <w:t>ekspektācijas</w:t>
                  </w:r>
                  <w:proofErr w:type="spellEnd"/>
                  <w:r w:rsidRPr="00231FB0">
                    <w:rPr>
                      <w:rFonts w:ascii="Times New Roman" w:hAnsi="Times New Roman" w:cs="Times New Roman"/>
                      <w:color w:val="000000"/>
                      <w:sz w:val="24"/>
                      <w:szCs w:val="24"/>
                    </w:rPr>
                    <w:t xml:space="preserve"> pret VKS, kas pārsniedz vispārēji pieņemtos komerctiesību principus);</w:t>
                  </w:r>
                </w:p>
                <w:p w14:paraId="3060EB7D" w14:textId="77777777" w:rsidR="006C5A7A" w:rsidRPr="00231FB0" w:rsidRDefault="006C5A7A" w:rsidP="006C5A7A">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2) Kapitāla daļu turētājs – pilda īpašuma tiesību īstenošanas administratīvo funkciju, ir atbildīgs par operatīvo un finanšu darbības mērķu izstrādi individuālas VKS (vai VKS grupas) līmenī, kā arī rezultātu vērtēšanu;</w:t>
                  </w:r>
                </w:p>
                <w:p w14:paraId="1136D695" w14:textId="77777777" w:rsidR="006C5A7A" w:rsidRPr="00231FB0" w:rsidRDefault="006C5A7A" w:rsidP="006C5A7A">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3) Padome – padome ir augstākā korporatīvās pārvaldības institūcija VKS iekšienē. Tā veido un apstiprina korporatīvās stratēģijas, uzrauga valdes darbību un ir atbildīga par vispārējo korporatīvo sniegumu;</w:t>
                  </w:r>
                </w:p>
                <w:p w14:paraId="7FD2C022" w14:textId="77777777" w:rsidR="006C5A7A" w:rsidRPr="00231FB0" w:rsidRDefault="006C5A7A" w:rsidP="006C5A7A">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4) Valde – vada operatīvo darbību un pārstāv sabiedrību.</w:t>
                  </w:r>
                </w:p>
                <w:p w14:paraId="5321C66C"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 xml:space="preserve">Taču redzam, ka sagatavotie Pārvaldības likuma grozījumi nenodrošina kvalitatīvu tuvinājumu šim OECD standartam un neļauj komerciālām I grupas VKS valdei un padomei darboties savam līmenim atbilstoši, tā vietā nosaka kapitāla daļu turētāja pārvaldību detaļās. Iespējams, ka ir noticis MK uzdevuma pārpratums. Grozījumu anotācijā norādītais mērķis ir "Ar tiesību aktu tiek ieviesti uzlabojumi publiskas personas kapitāla daļu un kapitālsabiedrību pārvaldības sistēmā, </w:t>
                  </w:r>
                  <w:r w:rsidRPr="00231FB0">
                    <w:rPr>
                      <w:rFonts w:ascii="Times New Roman" w:hAnsi="Times New Roman" w:cs="Times New Roman"/>
                      <w:b/>
                      <w:bCs/>
                      <w:color w:val="000000"/>
                      <w:sz w:val="24"/>
                      <w:szCs w:val="24"/>
                    </w:rPr>
                    <w:t>spēcinot publiskas personas kā akcionāra iesaisti kapitālsabiedrības stratēģiskajā pārvaldībā</w:t>
                  </w:r>
                  <w:r w:rsidRPr="00231FB0">
                    <w:rPr>
                      <w:rFonts w:ascii="Times New Roman" w:hAnsi="Times New Roman" w:cs="Times New Roman"/>
                      <w:color w:val="000000"/>
                      <w:sz w:val="24"/>
                      <w:szCs w:val="24"/>
                    </w:rPr>
                    <w:t>, vienlaikus samazinot iesaisti kapitālsabiedrību valdes veidošanas procesā". Tas rada priekšstatu, ka MK uzdevumā prasīts stiprināt akcionāra līdzdalību stratēģiskajā pārvaldībā, taču MK uzdevumā 23-UZ-227</w:t>
                  </w:r>
                  <w:hyperlink r:id="rId8" w:anchor="_ftn3" w:history="1">
                    <w:r w:rsidRPr="00231FB0">
                      <w:rPr>
                        <w:rFonts w:ascii="Times New Roman" w:hAnsi="Times New Roman" w:cs="Times New Roman"/>
                        <w:color w:val="000000"/>
                        <w:sz w:val="24"/>
                        <w:szCs w:val="24"/>
                        <w:u w:val="single"/>
                        <w:vertAlign w:val="superscript"/>
                      </w:rPr>
                      <w:t>[3]</w:t>
                    </w:r>
                  </w:hyperlink>
                  <w:r w:rsidRPr="00231FB0">
                    <w:rPr>
                      <w:rFonts w:ascii="Times New Roman" w:hAnsi="Times New Roman" w:cs="Times New Roman"/>
                      <w:color w:val="000000"/>
                      <w:sz w:val="24"/>
                      <w:szCs w:val="24"/>
                    </w:rPr>
                    <w:t xml:space="preserve"> norādīts, ka likumprojektā būtu jāparedz grozījumi, kas </w:t>
                  </w:r>
                  <w:r w:rsidRPr="00231FB0">
                    <w:rPr>
                      <w:rFonts w:ascii="Times New Roman" w:hAnsi="Times New Roman" w:cs="Times New Roman"/>
                      <w:b/>
                      <w:bCs/>
                      <w:color w:val="000000"/>
                      <w:sz w:val="24"/>
                      <w:szCs w:val="24"/>
                    </w:rPr>
                    <w:t>samazinātu kapitāla daļu turētāja un koordinācijas institūcijas iesaisti uzraudzībā valsts kapitālsabiedrībās, kurās ir izveidota padome</w:t>
                  </w:r>
                  <w:r w:rsidRPr="00231FB0">
                    <w:rPr>
                      <w:rFonts w:ascii="Times New Roman" w:hAnsi="Times New Roman" w:cs="Times New Roman"/>
                      <w:color w:val="000000"/>
                      <w:sz w:val="24"/>
                      <w:szCs w:val="24"/>
                    </w:rPr>
                    <w:t>. Tādējādi jāsecina, ka šajā aspektā sagatavotie likuma grozījumi ir pat pretēji MK definētajam uzdevumam.</w:t>
                  </w:r>
                </w:p>
                <w:p w14:paraId="51C5F0A1"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Rezultātā VKS konkurētspēja sakarā ar zemu lēmumu pieņemšanas ātrumu un riska apetītes trūkumu ir un saglabāsies ievērojami zemāka kā privātiem komersantiem. Turklāt, ņemot vērā, ka atsevišķās jomās kā privāti komersanti Latvijā darbojas ārvalstu valsts kapitāla uzņēmumu meitas sabiedrības, faktiski Latvijas VKS konkurē nevis ar vietējiem spēlētājiem, bet gan ar kaimiņvalstu VKS, uz kurām netiek attiecinātas tādas pašas prasības, kā uz Latvijas VKS.</w:t>
                  </w:r>
                </w:p>
                <w:p w14:paraId="31AD30B3"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 xml:space="preserve">Pastāvot šādam tiesiskajam regulējumam, kas krasi ierobežo VKS spēju efektīvi darboties pat tajās </w:t>
                  </w:r>
                  <w:proofErr w:type="spellStart"/>
                  <w:r w:rsidRPr="00231FB0">
                    <w:rPr>
                      <w:rFonts w:ascii="Times New Roman" w:hAnsi="Times New Roman" w:cs="Times New Roman"/>
                      <w:color w:val="000000"/>
                      <w:sz w:val="24"/>
                      <w:szCs w:val="24"/>
                    </w:rPr>
                    <w:t>nedaudzajās</w:t>
                  </w:r>
                  <w:proofErr w:type="spellEnd"/>
                  <w:r w:rsidRPr="00231FB0">
                    <w:rPr>
                      <w:rFonts w:ascii="Times New Roman" w:hAnsi="Times New Roman" w:cs="Times New Roman"/>
                      <w:color w:val="000000"/>
                      <w:sz w:val="24"/>
                      <w:szCs w:val="24"/>
                    </w:rPr>
                    <w:t xml:space="preserve"> jomās, ko tas pieļauj, VKS ir apgrūtināta pat tām uzticētā valsts kapitāla vērtības pienācīga saglabāšana, jo aizliegumi attīstībai un izaugsmei mūsdienu dinamiskajā pasaulē faktiski nozīmē atpalicību un vērtības sarukumu. Attiecīgi, šādos apstākļos sagaidīt no VKS izaugsmi, ieguldījumus inovācijās un eksportspējīgos produktus, stabilus un augošus dividenžu maksājumus, vai investoru adekvātu interesi, pat ja tiktu izlemts kādu daļu VKS kapitāldaļas kotēt, nav pamata.</w:t>
                  </w:r>
                </w:p>
                <w:p w14:paraId="5C31FF32"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lastRenderedPageBreak/>
                    <w:t>Papildus gan likuma grozījumu anotācijā, gan Konceptuālajā ziņojumā norādīts ieviestās VKS segmentēšanas grupās mērķis –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Pārvaldības likuma grozījumu projektā nav saskatāma atšķirīgu pārvaldības elementu ieviešana, kas palīdzētu pārvaldības procesu vadībā un VKS stratēģisko mērķu sasniegšanā. Šobrīd segmentācija formāli ieviesta likuma tekstā, taču to varētu izmantot izmanto kā efektīvs rīku, ieviešot atšķirīgus pārvaldības elementus.</w:t>
                  </w:r>
                </w:p>
                <w:p w14:paraId="0517F58A"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 xml:space="preserve"> </w:t>
                  </w:r>
                </w:p>
                <w:p w14:paraId="0333507B" w14:textId="77777777" w:rsidR="006C5A7A" w:rsidRPr="00231FB0" w:rsidRDefault="006C5A7A" w:rsidP="006C5A7A">
                  <w:pPr>
                    <w:keepLines/>
                    <w:autoSpaceDE w:val="0"/>
                    <w:autoSpaceDN w:val="0"/>
                    <w:adjustRightInd w:val="0"/>
                    <w:spacing w:before="240" w:after="0" w:line="240" w:lineRule="auto"/>
                    <w:ind w:firstLine="720"/>
                    <w:jc w:val="both"/>
                    <w:rPr>
                      <w:rFonts w:ascii="Times New Roman" w:hAnsi="Times New Roman" w:cs="Times New Roman"/>
                      <w:b/>
                      <w:bCs/>
                      <w:color w:val="000000"/>
                      <w:sz w:val="24"/>
                      <w:szCs w:val="24"/>
                    </w:rPr>
                  </w:pPr>
                  <w:r w:rsidRPr="00231FB0">
                    <w:rPr>
                      <w:rFonts w:ascii="Times New Roman" w:hAnsi="Times New Roman" w:cs="Times New Roman"/>
                      <w:b/>
                      <w:bCs/>
                      <w:color w:val="000000"/>
                      <w:sz w:val="24"/>
                      <w:szCs w:val="24"/>
                    </w:rPr>
                    <w:t>Risinājums:</w:t>
                  </w:r>
                </w:p>
                <w:p w14:paraId="62A32BA4" w14:textId="01D5EF55" w:rsidR="006C5A7A" w:rsidRPr="00231FB0" w:rsidRDefault="006C5A7A" w:rsidP="006C5A7A">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    Pārskatīt pamatojumus visām VKS darbību un pārvaldību apgrūtinošajām normām, salīdzinot ar privātiem komersantiem piemērojamām, gan šajā likumā, gan citos normatīvajos aktos (Konkurences likums, Publiskas personas finanšu līdzekļu un mantas izšķērdēšanas novēršanas likums, Publisko iepirkumu likums, Sabiedrisko pakalpojumu sniedzēju iepirkuma likums u.c.). Ja nav skaidri identificējams pamatojums atšķirībām regulējumā, tad no tā jāatsakās.</w:t>
                  </w:r>
                </w:p>
                <w:p w14:paraId="28CE0BD2" w14:textId="77777777" w:rsidR="006C5A7A" w:rsidRPr="00231FB0" w:rsidRDefault="006C5A7A" w:rsidP="006C5A7A">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sidRPr="00231FB0">
                    <w:rPr>
                      <w:rFonts w:ascii="Times New Roman" w:hAnsi="Times New Roman" w:cs="Times New Roman"/>
                      <w:color w:val="000000"/>
                      <w:sz w:val="24"/>
                      <w:szCs w:val="24"/>
                    </w:rPr>
                    <w:t>•     Lai piešķirtu jēgu segmentēta VKS iedalījuma ieviešanai (3 grupās), skaidri jānodefinē, ka I grupas komerciālo VKS regulējums ir būtiski atšķirīgs no II un III grupas VKS un tādēļ tas maksimāli jāpietuvina privāto kapitālsabiedrību regulējumam atbilstoši Komerclikuma normām. Piedāvājam noteikt Pārvaldības likumā, ka uz I grupas VKS attiecināmas tās Pārvaldības likuma normas, kas regulē šādus jautājumus – nodefinēts kapitāldaļu turētājs, gaidu vēstule, stratēģiskā mērķa definēšana, līdzdalības izvērtēšana, ar stratēģisko mērķi saskaņota VKS stratēģija.</w:t>
                  </w:r>
                </w:p>
                <w:p w14:paraId="03A84E96" w14:textId="77777777" w:rsidR="006C5A7A" w:rsidRPr="00231FB0" w:rsidRDefault="006C5A7A" w:rsidP="006C5A7A">
                  <w:pPr>
                    <w:keepLines/>
                    <w:autoSpaceDE w:val="0"/>
                    <w:autoSpaceDN w:val="0"/>
                    <w:adjustRightInd w:val="0"/>
                    <w:spacing w:before="240" w:after="0" w:line="240" w:lineRule="auto"/>
                    <w:ind w:firstLine="720"/>
                    <w:rPr>
                      <w:rFonts w:ascii="Tms Rmn" w:hAnsi="Tms Rmn" w:cs="Tms Rmn"/>
                      <w:color w:val="000000"/>
                      <w:sz w:val="24"/>
                      <w:szCs w:val="24"/>
                    </w:rPr>
                  </w:pPr>
                  <w:r w:rsidRPr="00231FB0">
                    <w:rPr>
                      <w:rFonts w:ascii="Tms Rmn" w:hAnsi="Tms Rmn" w:cs="Tms Rmn"/>
                      <w:color w:val="000000"/>
                      <w:sz w:val="24"/>
                      <w:szCs w:val="24"/>
                    </w:rPr>
                    <w:br/>
                  </w:r>
                </w:p>
                <w:p w14:paraId="6ADB750E" w14:textId="77777777" w:rsidR="006C5A7A" w:rsidRPr="00231FB0" w:rsidRDefault="00000000" w:rsidP="006C5A7A">
                  <w:pPr>
                    <w:keepLines/>
                    <w:autoSpaceDE w:val="0"/>
                    <w:autoSpaceDN w:val="0"/>
                    <w:adjustRightInd w:val="0"/>
                    <w:spacing w:after="0" w:line="240" w:lineRule="auto"/>
                    <w:ind w:firstLine="720"/>
                    <w:rPr>
                      <w:rFonts w:ascii="Times New Roman" w:hAnsi="Times New Roman" w:cs="Times New Roman"/>
                      <w:color w:val="000000"/>
                      <w:sz w:val="20"/>
                      <w:szCs w:val="20"/>
                    </w:rPr>
                  </w:pPr>
                  <w:hyperlink r:id="rId9" w:anchor="_ftnref1" w:history="1">
                    <w:r w:rsidR="006C5A7A" w:rsidRPr="00231FB0">
                      <w:rPr>
                        <w:rFonts w:ascii="Times New Roman" w:hAnsi="Times New Roman" w:cs="Times New Roman"/>
                        <w:color w:val="0000FF"/>
                        <w:sz w:val="20"/>
                        <w:szCs w:val="20"/>
                        <w:u w:val="single"/>
                        <w:vertAlign w:val="superscript"/>
                      </w:rPr>
                      <w:t>[1]</w:t>
                    </w:r>
                  </w:hyperlink>
                  <w:r w:rsidR="006C5A7A" w:rsidRPr="00231FB0">
                    <w:rPr>
                      <w:rFonts w:ascii="Times New Roman" w:hAnsi="Times New Roman" w:cs="Times New Roman"/>
                      <w:color w:val="000000"/>
                      <w:sz w:val="20"/>
                      <w:szCs w:val="20"/>
                    </w:rPr>
                    <w:t xml:space="preserve"> Ministru kabineta 2022.gada 15.septembra noteikumi Nr.618, </w:t>
                  </w:r>
                  <w:hyperlink r:id="rId10" w:history="1">
                    <w:r w:rsidR="006C5A7A" w:rsidRPr="00231FB0">
                      <w:rPr>
                        <w:rFonts w:ascii="Times New Roman" w:hAnsi="Times New Roman" w:cs="Times New Roman"/>
                        <w:color w:val="0000FF"/>
                        <w:sz w:val="20"/>
                        <w:szCs w:val="20"/>
                        <w:u w:val="single"/>
                      </w:rPr>
                      <w:t>Par publisku personu kapitālsabiedrību un publisku personu kapitāla daļu pārvaldības politikas nepieciešamajām izmaiņām (likumi.lv)</w:t>
                    </w:r>
                  </w:hyperlink>
                </w:p>
                <w:p w14:paraId="00268C81" w14:textId="77777777" w:rsidR="006C5A7A" w:rsidRPr="00231FB0" w:rsidRDefault="00000000" w:rsidP="006C5A7A">
                  <w:pPr>
                    <w:keepLines/>
                    <w:autoSpaceDE w:val="0"/>
                    <w:autoSpaceDN w:val="0"/>
                    <w:adjustRightInd w:val="0"/>
                    <w:spacing w:after="0" w:line="240" w:lineRule="auto"/>
                    <w:ind w:firstLine="720"/>
                    <w:rPr>
                      <w:rFonts w:ascii="Times New Roman" w:hAnsi="Times New Roman" w:cs="Times New Roman"/>
                      <w:color w:val="000000"/>
                      <w:sz w:val="20"/>
                      <w:szCs w:val="20"/>
                    </w:rPr>
                  </w:pPr>
                  <w:hyperlink r:id="rId11" w:anchor="_ftnref2" w:history="1">
                    <w:r w:rsidR="006C5A7A" w:rsidRPr="00231FB0">
                      <w:rPr>
                        <w:rFonts w:ascii="Times New Roman" w:hAnsi="Times New Roman" w:cs="Times New Roman"/>
                        <w:color w:val="0000FF"/>
                        <w:sz w:val="20"/>
                        <w:szCs w:val="20"/>
                        <w:u w:val="single"/>
                        <w:vertAlign w:val="superscript"/>
                      </w:rPr>
                      <w:t>[2]</w:t>
                    </w:r>
                  </w:hyperlink>
                  <w:r w:rsidR="006C5A7A" w:rsidRPr="00231FB0">
                    <w:rPr>
                      <w:rFonts w:ascii="Times New Roman" w:hAnsi="Times New Roman" w:cs="Times New Roman"/>
                      <w:color w:val="000000"/>
                      <w:sz w:val="20"/>
                      <w:szCs w:val="20"/>
                    </w:rPr>
                    <w:t xml:space="preserve"> </w:t>
                  </w:r>
                  <w:proofErr w:type="spellStart"/>
                  <w:r w:rsidR="006C5A7A" w:rsidRPr="00231FB0">
                    <w:rPr>
                      <w:rFonts w:ascii="Times New Roman" w:hAnsi="Times New Roman" w:cs="Times New Roman"/>
                      <w:color w:val="000000"/>
                      <w:sz w:val="20"/>
                      <w:szCs w:val="20"/>
                    </w:rPr>
                    <w:t>Organising</w:t>
                  </w:r>
                  <w:proofErr w:type="spellEnd"/>
                  <w:r w:rsidR="006C5A7A" w:rsidRPr="00231FB0">
                    <w:rPr>
                      <w:rFonts w:ascii="Times New Roman" w:hAnsi="Times New Roman" w:cs="Times New Roman"/>
                      <w:color w:val="000000"/>
                      <w:sz w:val="20"/>
                      <w:szCs w:val="20"/>
                    </w:rPr>
                    <w:t xml:space="preserve"> </w:t>
                  </w:r>
                  <w:proofErr w:type="spellStart"/>
                  <w:r w:rsidR="006C5A7A" w:rsidRPr="00231FB0">
                    <w:rPr>
                      <w:rFonts w:ascii="Times New Roman" w:hAnsi="Times New Roman" w:cs="Times New Roman"/>
                      <w:color w:val="000000"/>
                      <w:sz w:val="20"/>
                      <w:szCs w:val="20"/>
                    </w:rPr>
                    <w:t>the</w:t>
                  </w:r>
                  <w:proofErr w:type="spellEnd"/>
                  <w:r w:rsidR="006C5A7A" w:rsidRPr="00231FB0">
                    <w:rPr>
                      <w:rFonts w:ascii="Times New Roman" w:hAnsi="Times New Roman" w:cs="Times New Roman"/>
                      <w:color w:val="000000"/>
                      <w:sz w:val="20"/>
                      <w:szCs w:val="20"/>
                    </w:rPr>
                    <w:t xml:space="preserve"> </w:t>
                  </w:r>
                  <w:proofErr w:type="spellStart"/>
                  <w:r w:rsidR="006C5A7A" w:rsidRPr="00231FB0">
                    <w:rPr>
                      <w:rFonts w:ascii="Times New Roman" w:hAnsi="Times New Roman" w:cs="Times New Roman"/>
                      <w:color w:val="000000"/>
                      <w:sz w:val="20"/>
                      <w:szCs w:val="20"/>
                    </w:rPr>
                    <w:t>State</w:t>
                  </w:r>
                  <w:proofErr w:type="spellEnd"/>
                  <w:r w:rsidR="006C5A7A" w:rsidRPr="00231FB0">
                    <w:rPr>
                      <w:rFonts w:ascii="Times New Roman" w:hAnsi="Times New Roman" w:cs="Times New Roman"/>
                      <w:color w:val="000000"/>
                      <w:sz w:val="20"/>
                      <w:szCs w:val="20"/>
                    </w:rPr>
                    <w:t xml:space="preserve"> </w:t>
                  </w:r>
                  <w:proofErr w:type="spellStart"/>
                  <w:r w:rsidR="006C5A7A" w:rsidRPr="00231FB0">
                    <w:rPr>
                      <w:rFonts w:ascii="Times New Roman" w:hAnsi="Times New Roman" w:cs="Times New Roman"/>
                      <w:color w:val="000000"/>
                      <w:sz w:val="20"/>
                      <w:szCs w:val="20"/>
                    </w:rPr>
                    <w:t>Ownership</w:t>
                  </w:r>
                  <w:proofErr w:type="spellEnd"/>
                  <w:r w:rsidR="006C5A7A" w:rsidRPr="00231FB0">
                    <w:rPr>
                      <w:rFonts w:ascii="Times New Roman" w:hAnsi="Times New Roman" w:cs="Times New Roman"/>
                      <w:color w:val="000000"/>
                      <w:sz w:val="20"/>
                      <w:szCs w:val="20"/>
                    </w:rPr>
                    <w:t xml:space="preserve"> </w:t>
                  </w:r>
                  <w:proofErr w:type="spellStart"/>
                  <w:r w:rsidR="006C5A7A" w:rsidRPr="00231FB0">
                    <w:rPr>
                      <w:rFonts w:ascii="Times New Roman" w:hAnsi="Times New Roman" w:cs="Times New Roman"/>
                      <w:color w:val="000000"/>
                      <w:sz w:val="20"/>
                      <w:szCs w:val="20"/>
                    </w:rPr>
                    <w:t>Function</w:t>
                  </w:r>
                  <w:proofErr w:type="spellEnd"/>
                  <w:r w:rsidR="006C5A7A" w:rsidRPr="00231FB0">
                    <w:rPr>
                      <w:rFonts w:ascii="Times New Roman" w:hAnsi="Times New Roman" w:cs="Times New Roman"/>
                      <w:color w:val="000000"/>
                      <w:sz w:val="20"/>
                      <w:szCs w:val="20"/>
                    </w:rPr>
                    <w:t xml:space="preserve">, OECD (2020), </w:t>
                  </w:r>
                  <w:hyperlink r:id="rId12" w:history="1">
                    <w:r w:rsidR="006C5A7A" w:rsidRPr="00231FB0">
                      <w:rPr>
                        <w:rFonts w:ascii="Times New Roman" w:hAnsi="Times New Roman" w:cs="Times New Roman"/>
                        <w:color w:val="0000FF"/>
                        <w:sz w:val="20"/>
                        <w:szCs w:val="20"/>
                        <w:u w:val="single"/>
                      </w:rPr>
                      <w:t>organising-state-ownership-function.pdf (oecd.org)</w:t>
                    </w:r>
                  </w:hyperlink>
                </w:p>
                <w:p w14:paraId="61E8F26C" w14:textId="77777777" w:rsidR="006C5A7A" w:rsidRPr="00231FB0" w:rsidRDefault="00000000" w:rsidP="006C5A7A">
                  <w:pPr>
                    <w:keepLines/>
                    <w:autoSpaceDE w:val="0"/>
                    <w:autoSpaceDN w:val="0"/>
                    <w:adjustRightInd w:val="0"/>
                    <w:spacing w:after="0" w:line="240" w:lineRule="auto"/>
                    <w:ind w:firstLine="720"/>
                    <w:rPr>
                      <w:rFonts w:ascii="Times New Roman" w:hAnsi="Times New Roman" w:cs="Times New Roman"/>
                      <w:color w:val="000000"/>
                      <w:sz w:val="20"/>
                      <w:szCs w:val="20"/>
                    </w:rPr>
                  </w:pPr>
                  <w:hyperlink r:id="rId13" w:anchor="_ftnref3" w:history="1">
                    <w:r w:rsidR="006C5A7A" w:rsidRPr="00231FB0">
                      <w:rPr>
                        <w:rFonts w:ascii="Times New Roman" w:hAnsi="Times New Roman" w:cs="Times New Roman"/>
                        <w:color w:val="0000FF"/>
                        <w:sz w:val="20"/>
                        <w:szCs w:val="20"/>
                        <w:u w:val="single"/>
                        <w:vertAlign w:val="superscript"/>
                      </w:rPr>
                      <w:t>[3]</w:t>
                    </w:r>
                  </w:hyperlink>
                  <w:r w:rsidR="006C5A7A" w:rsidRPr="00231FB0">
                    <w:rPr>
                      <w:rFonts w:ascii="Times New Roman" w:hAnsi="Times New Roman" w:cs="Times New Roman"/>
                      <w:color w:val="000000"/>
                      <w:sz w:val="20"/>
                      <w:szCs w:val="20"/>
                    </w:rPr>
                    <w:t xml:space="preserve"> </w:t>
                  </w:r>
                  <w:hyperlink r:id="rId14" w:history="1">
                    <w:r w:rsidR="006C5A7A" w:rsidRPr="00231FB0">
                      <w:rPr>
                        <w:rFonts w:ascii="Times New Roman" w:hAnsi="Times New Roman" w:cs="Times New Roman"/>
                        <w:color w:val="0000FF"/>
                        <w:sz w:val="20"/>
                        <w:szCs w:val="20"/>
                        <w:u w:val="single"/>
                      </w:rPr>
                      <w:t>Par publisku personu kapitālsabiedrību un publisku personu kapitāla daļu pārvaldības politikas nepieciešamajām izmaiņām (mk.gov.lv)</w:t>
                    </w:r>
                  </w:hyperlink>
                </w:p>
              </w:tc>
            </w:tr>
          </w:tbl>
          <w:p w14:paraId="31E2E204" w14:textId="77777777" w:rsidR="006C5A7A" w:rsidRPr="00231FB0" w:rsidRDefault="006C5A7A" w:rsidP="006C5A7A">
            <w:pPr>
              <w:keepLines/>
              <w:autoSpaceDE w:val="0"/>
              <w:autoSpaceDN w:val="0"/>
              <w:adjustRightInd w:val="0"/>
              <w:spacing w:after="0" w:line="240" w:lineRule="auto"/>
              <w:rPr>
                <w:rFonts w:ascii="Times New Roman" w:hAnsi="Times New Roman" w:cs="Times New Roman"/>
                <w:color w:val="000000"/>
                <w:sz w:val="20"/>
                <w:szCs w:val="20"/>
              </w:rPr>
            </w:pPr>
          </w:p>
          <w:p w14:paraId="68057696" w14:textId="77777777" w:rsidR="006C5A7A" w:rsidRPr="00231FB0" w:rsidRDefault="006C5A7A" w:rsidP="006C5A7A">
            <w:pPr>
              <w:keepLines/>
              <w:autoSpaceDE w:val="0"/>
              <w:autoSpaceDN w:val="0"/>
              <w:adjustRightInd w:val="0"/>
              <w:spacing w:after="0" w:line="240" w:lineRule="auto"/>
              <w:rPr>
                <w:rFonts w:ascii="Times New Roman" w:hAnsi="Times New Roman" w:cs="Times New Roman"/>
                <w:color w:val="000000"/>
                <w:sz w:val="20"/>
                <w:szCs w:val="20"/>
              </w:rPr>
            </w:pPr>
          </w:p>
          <w:p w14:paraId="34A34F1B" w14:textId="77777777" w:rsidR="006C5A7A" w:rsidRPr="00231FB0" w:rsidRDefault="006C5A7A" w:rsidP="006C5A7A">
            <w:pPr>
              <w:keepLines/>
              <w:autoSpaceDE w:val="0"/>
              <w:autoSpaceDN w:val="0"/>
              <w:adjustRightInd w:val="0"/>
              <w:spacing w:after="0" w:line="240" w:lineRule="auto"/>
              <w:rPr>
                <w:rFonts w:ascii="Times New Roman" w:hAnsi="Times New Roman" w:cs="Times New Roman"/>
                <w:i/>
                <w:iCs/>
                <w:color w:val="000000"/>
                <w:sz w:val="20"/>
                <w:szCs w:val="20"/>
              </w:rPr>
            </w:pPr>
            <w:r w:rsidRPr="00231FB0">
              <w:rPr>
                <w:rFonts w:ascii="Times New Roman" w:hAnsi="Times New Roman" w:cs="Times New Roman"/>
                <w:i/>
                <w:iCs/>
                <w:color w:val="000000"/>
                <w:sz w:val="20"/>
                <w:szCs w:val="20"/>
              </w:rPr>
              <w:t>Šis dokuments ir parakstīts ar drošu elektronisko parakstu un satur laika zīmogu.</w:t>
            </w:r>
          </w:p>
          <w:p w14:paraId="781E86E3" w14:textId="77777777" w:rsidR="006C5A7A" w:rsidRPr="00231FB0" w:rsidRDefault="006C5A7A" w:rsidP="006C5A7A">
            <w:pPr>
              <w:keepLines/>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259"/>
              <w:gridCol w:w="285"/>
              <w:gridCol w:w="4541"/>
            </w:tblGrid>
            <w:tr w:rsidR="006C5A7A" w:rsidRPr="00231FB0" w14:paraId="43D8BFA9" w14:textId="77777777" w:rsidTr="006C5A7A">
              <w:tc>
                <w:tcPr>
                  <w:tcW w:w="2344" w:type="pct"/>
                  <w:tcBorders>
                    <w:top w:val="nil"/>
                    <w:left w:val="nil"/>
                    <w:bottom w:val="nil"/>
                    <w:right w:val="nil"/>
                  </w:tcBorders>
                </w:tcPr>
                <w:p w14:paraId="4629A8A0" w14:textId="77777777" w:rsidR="006C5A7A" w:rsidRPr="00231FB0" w:rsidRDefault="006C5A7A" w:rsidP="006C5A7A">
                  <w:pPr>
                    <w:keepLines/>
                    <w:autoSpaceDE w:val="0"/>
                    <w:autoSpaceDN w:val="0"/>
                    <w:adjustRightInd w:val="0"/>
                    <w:spacing w:after="0" w:line="360" w:lineRule="auto"/>
                    <w:rPr>
                      <w:rFonts w:ascii="Times New Roman" w:hAnsi="Times New Roman" w:cs="Times New Roman"/>
                      <w:color w:val="000000"/>
                      <w:sz w:val="24"/>
                      <w:szCs w:val="24"/>
                    </w:rPr>
                  </w:pPr>
                  <w:r w:rsidRPr="00231FB0">
                    <w:rPr>
                      <w:rFonts w:ascii="Times New Roman" w:hAnsi="Times New Roman" w:cs="Times New Roman"/>
                      <w:color w:val="000000"/>
                      <w:sz w:val="24"/>
                      <w:szCs w:val="24"/>
                    </w:rPr>
                    <w:t>Padomes priekšsēdētājs</w:t>
                  </w:r>
                </w:p>
              </w:tc>
              <w:tc>
                <w:tcPr>
                  <w:tcW w:w="157" w:type="pct"/>
                  <w:tcBorders>
                    <w:top w:val="nil"/>
                    <w:left w:val="nil"/>
                    <w:bottom w:val="nil"/>
                    <w:right w:val="nil"/>
                  </w:tcBorders>
                </w:tcPr>
                <w:p w14:paraId="4736ED33" w14:textId="77777777" w:rsidR="006C5A7A" w:rsidRPr="00231FB0" w:rsidRDefault="006C5A7A" w:rsidP="006C5A7A">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99" w:type="pct"/>
                  <w:tcBorders>
                    <w:top w:val="nil"/>
                    <w:left w:val="nil"/>
                    <w:bottom w:val="nil"/>
                    <w:right w:val="nil"/>
                  </w:tcBorders>
                </w:tcPr>
                <w:p w14:paraId="213686A9" w14:textId="77777777" w:rsidR="006C5A7A" w:rsidRPr="00231FB0" w:rsidRDefault="006C5A7A" w:rsidP="006C5A7A">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sidRPr="00231FB0">
                    <w:rPr>
                      <w:rFonts w:ascii="Times New Roman" w:hAnsi="Times New Roman" w:cs="Times New Roman"/>
                      <w:color w:val="000000"/>
                      <w:sz w:val="24"/>
                      <w:szCs w:val="24"/>
                    </w:rPr>
                    <w:t>Ivars Golsts</w:t>
                  </w:r>
                </w:p>
              </w:tc>
            </w:tr>
          </w:tbl>
          <w:p w14:paraId="6D3D8E0F" w14:textId="77777777" w:rsidR="006C5A7A" w:rsidRPr="00231FB0" w:rsidRDefault="006C5A7A" w:rsidP="006C5A7A">
            <w:pPr>
              <w:keepLines/>
              <w:autoSpaceDE w:val="0"/>
              <w:autoSpaceDN w:val="0"/>
              <w:adjustRightInd w:val="0"/>
              <w:spacing w:after="0" w:line="240" w:lineRule="auto"/>
              <w:rPr>
                <w:rFonts w:ascii="Times New Roman" w:hAnsi="Times New Roman" w:cs="Times New Roman"/>
                <w:color w:val="000000"/>
                <w:sz w:val="24"/>
                <w:szCs w:val="24"/>
              </w:rPr>
            </w:pPr>
          </w:p>
          <w:p w14:paraId="6D7FC337" w14:textId="77777777" w:rsidR="006C5A7A" w:rsidRPr="00231FB0" w:rsidRDefault="006C5A7A" w:rsidP="006C5A7A">
            <w:pPr>
              <w:keepLines/>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85"/>
            </w:tblGrid>
            <w:tr w:rsidR="006C5A7A" w14:paraId="62E1B6D6" w14:textId="77777777" w:rsidTr="006C5A7A">
              <w:tc>
                <w:tcPr>
                  <w:tcW w:w="5000" w:type="pct"/>
                  <w:tcBorders>
                    <w:top w:val="nil"/>
                    <w:left w:val="nil"/>
                    <w:bottom w:val="nil"/>
                    <w:right w:val="nil"/>
                  </w:tcBorders>
                </w:tcPr>
                <w:p w14:paraId="5971193A" w14:textId="77777777" w:rsidR="006C5A7A" w:rsidRDefault="006C5A7A" w:rsidP="006C5A7A">
                  <w:pPr>
                    <w:keepLines/>
                    <w:autoSpaceDE w:val="0"/>
                    <w:autoSpaceDN w:val="0"/>
                    <w:adjustRightInd w:val="0"/>
                    <w:spacing w:after="0" w:line="240" w:lineRule="auto"/>
                    <w:rPr>
                      <w:rFonts w:ascii="Times New Roman" w:hAnsi="Times New Roman" w:cs="Times New Roman"/>
                      <w:color w:val="000000"/>
                      <w:sz w:val="20"/>
                      <w:szCs w:val="20"/>
                    </w:rPr>
                  </w:pPr>
                  <w:r w:rsidRPr="00231FB0">
                    <w:rPr>
                      <w:rFonts w:ascii="Times New Roman" w:hAnsi="Times New Roman" w:cs="Times New Roman"/>
                      <w:color w:val="000000"/>
                      <w:sz w:val="20"/>
                      <w:szCs w:val="20"/>
                    </w:rPr>
                    <w:t xml:space="preserve">Anete </w:t>
                  </w:r>
                  <w:proofErr w:type="spellStart"/>
                  <w:r w:rsidRPr="00231FB0">
                    <w:rPr>
                      <w:rFonts w:ascii="Times New Roman" w:hAnsi="Times New Roman" w:cs="Times New Roman"/>
                      <w:color w:val="000000"/>
                      <w:sz w:val="20"/>
                      <w:szCs w:val="20"/>
                    </w:rPr>
                    <w:t>Valtere</w:t>
                  </w:r>
                  <w:proofErr w:type="spellEnd"/>
                  <w:r w:rsidRPr="00231FB0">
                    <w:rPr>
                      <w:rFonts w:ascii="Times New Roman" w:hAnsi="Times New Roman" w:cs="Times New Roman"/>
                      <w:color w:val="000000"/>
                      <w:sz w:val="20"/>
                      <w:szCs w:val="20"/>
                    </w:rPr>
                    <w:t xml:space="preserve"> 67728438, 29515463</w:t>
                  </w:r>
                </w:p>
              </w:tc>
            </w:tr>
          </w:tbl>
          <w:p w14:paraId="083017BF" w14:textId="77777777" w:rsidR="006C5A7A" w:rsidRDefault="006C5A7A" w:rsidP="006C5A7A">
            <w:pPr>
              <w:keepLines/>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 </w:t>
            </w:r>
          </w:p>
        </w:tc>
      </w:tr>
    </w:tbl>
    <w:p w14:paraId="33C64133" w14:textId="77777777" w:rsidR="006C5A7A" w:rsidRDefault="006C5A7A" w:rsidP="006C5A7A">
      <w:pPr>
        <w:autoSpaceDE w:val="0"/>
        <w:autoSpaceDN w:val="0"/>
        <w:adjustRightInd w:val="0"/>
        <w:spacing w:after="0" w:line="240" w:lineRule="auto"/>
        <w:ind w:left="261"/>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 </w:t>
      </w:r>
    </w:p>
    <w:p w14:paraId="57C009D5" w14:textId="77777777" w:rsidR="005766AC" w:rsidRPr="00424932" w:rsidRDefault="005766AC" w:rsidP="006C5A7A"/>
    <w:sectPr w:rsidR="005766AC" w:rsidRPr="00424932" w:rsidSect="007F566F">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7D09C" w14:textId="77777777" w:rsidR="00870672" w:rsidRDefault="00870672" w:rsidP="00117405">
      <w:pPr>
        <w:spacing w:after="0" w:line="240" w:lineRule="auto"/>
      </w:pPr>
      <w:r>
        <w:separator/>
      </w:r>
    </w:p>
  </w:endnote>
  <w:endnote w:type="continuationSeparator" w:id="0">
    <w:p w14:paraId="62428158" w14:textId="77777777" w:rsidR="00870672" w:rsidRDefault="00870672"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77215" w14:textId="77777777" w:rsidR="006C5A7A" w:rsidRDefault="006C5A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502C4" w14:textId="77777777" w:rsidR="006C5A7A" w:rsidRDefault="006C5A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27B02" w14:textId="77777777" w:rsidR="006C5A7A" w:rsidRDefault="006C5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FCA75" w14:textId="77777777" w:rsidR="00870672" w:rsidRDefault="00870672" w:rsidP="00117405">
      <w:pPr>
        <w:spacing w:after="0" w:line="240" w:lineRule="auto"/>
      </w:pPr>
      <w:r>
        <w:separator/>
      </w:r>
    </w:p>
  </w:footnote>
  <w:footnote w:type="continuationSeparator" w:id="0">
    <w:p w14:paraId="44DE1393" w14:textId="77777777" w:rsidR="00870672" w:rsidRDefault="00870672"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AAC2" w14:textId="77777777" w:rsidR="006C5A7A" w:rsidRDefault="006C5A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A071" w14:textId="77777777" w:rsidR="006C5A7A" w:rsidRDefault="006C5A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0FB4A030" w14:textId="77777777" w:rsidTr="007F566F">
      <w:trPr>
        <w:cantSplit/>
        <w:trHeight w:val="3515"/>
        <w:jc w:val="center"/>
      </w:trPr>
      <w:tc>
        <w:tcPr>
          <w:tcW w:w="9061" w:type="dxa"/>
        </w:tcPr>
        <w:p w14:paraId="57666EC7" w14:textId="77777777" w:rsidR="007F566F" w:rsidRPr="007F566F" w:rsidRDefault="00B90832">
          <w:pPr>
            <w:pStyle w:val="Header"/>
            <w:rPr>
              <w:rFonts w:ascii="Times New Roman" w:hAnsi="Times New Roman" w:cs="Times New Roman"/>
              <w:b/>
              <w:sz w:val="24"/>
              <w:szCs w:val="24"/>
            </w:rPr>
          </w:pPr>
          <w:r>
            <w:rPr>
              <w:rFonts w:ascii="Times New Roman" w:hAnsi="Times New Roman" w:cs="Times New Roman"/>
              <w:b/>
              <w:noProof/>
              <w:sz w:val="24"/>
              <w:szCs w:val="24"/>
              <w:lang w:eastAsia="lv-LV"/>
            </w:rPr>
            <w:drawing>
              <wp:anchor distT="0" distB="0" distL="114300" distR="114300" simplePos="0" relativeHeight="251658240" behindDoc="1" locked="0" layoutInCell="1" allowOverlap="1" wp14:anchorId="4BD0C857" wp14:editId="23A29796">
                <wp:simplePos x="0" y="0"/>
                <wp:positionH relativeFrom="column">
                  <wp:posOffset>-1072184</wp:posOffset>
                </wp:positionH>
                <wp:positionV relativeFrom="paragraph">
                  <wp:posOffset>111318</wp:posOffset>
                </wp:positionV>
                <wp:extent cx="7566025" cy="2145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2145665"/>
                        </a:xfrm>
                        <a:prstGeom prst="rect">
                          <a:avLst/>
                        </a:prstGeom>
                        <a:noFill/>
                      </pic:spPr>
                    </pic:pic>
                  </a:graphicData>
                </a:graphic>
                <wp14:sizeRelH relativeFrom="page">
                  <wp14:pctWidth>0</wp14:pctWidth>
                </wp14:sizeRelH>
                <wp14:sizeRelV relativeFrom="page">
                  <wp14:pctHeight>0</wp14:pctHeight>
                </wp14:sizeRelV>
              </wp:anchor>
            </w:drawing>
          </w:r>
        </w:p>
      </w:tc>
    </w:tr>
  </w:tbl>
  <w:p w14:paraId="1F720763" w14:textId="77777777" w:rsidR="00526744" w:rsidRDefault="00526744">
    <w:pPr>
      <w:pStyle w:val="Header"/>
    </w:pPr>
  </w:p>
  <w:p w14:paraId="74923269" w14:textId="77777777" w:rsidR="006C5A7A" w:rsidRPr="006C5A7A" w:rsidRDefault="006C5A7A">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7A"/>
    <w:rsid w:val="00046C5E"/>
    <w:rsid w:val="00117405"/>
    <w:rsid w:val="001D1AD2"/>
    <w:rsid w:val="002302EC"/>
    <w:rsid w:val="00231FB0"/>
    <w:rsid w:val="00254E99"/>
    <w:rsid w:val="003E571F"/>
    <w:rsid w:val="003F7941"/>
    <w:rsid w:val="00406EFB"/>
    <w:rsid w:val="00424932"/>
    <w:rsid w:val="00454313"/>
    <w:rsid w:val="00476996"/>
    <w:rsid w:val="00526744"/>
    <w:rsid w:val="00561709"/>
    <w:rsid w:val="005766AC"/>
    <w:rsid w:val="006232BF"/>
    <w:rsid w:val="00627FAE"/>
    <w:rsid w:val="006512F4"/>
    <w:rsid w:val="006C5A7A"/>
    <w:rsid w:val="006D2C65"/>
    <w:rsid w:val="00707C55"/>
    <w:rsid w:val="00717B9A"/>
    <w:rsid w:val="007F566F"/>
    <w:rsid w:val="0083724C"/>
    <w:rsid w:val="00870672"/>
    <w:rsid w:val="008A2D79"/>
    <w:rsid w:val="008B458C"/>
    <w:rsid w:val="008C353F"/>
    <w:rsid w:val="00902D7F"/>
    <w:rsid w:val="00974D29"/>
    <w:rsid w:val="009B414B"/>
    <w:rsid w:val="009C5EBC"/>
    <w:rsid w:val="00A32671"/>
    <w:rsid w:val="00B90832"/>
    <w:rsid w:val="00B95B3B"/>
    <w:rsid w:val="00BF2CBA"/>
    <w:rsid w:val="00CF07FA"/>
    <w:rsid w:val="00D12EA2"/>
    <w:rsid w:val="00D9691A"/>
    <w:rsid w:val="00DA5174"/>
    <w:rsid w:val="00E41C97"/>
    <w:rsid w:val="00E77323"/>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435AB"/>
  <w15:docId w15:val="{4DFEBDE9-74FE-4D48-9E5D-729CD8CE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Parvaldibas%20likums/Viedoklis_Parvaldibas%20lik%20groz_23_TA_1130_2023.08.11.docx" TargetMode="External"/><Relationship Id="rId13" Type="http://schemas.openxmlformats.org/officeDocument/2006/relationships/hyperlink" Target="file:///U:/Parvaldibas%20likums/Viedoklis_Parvaldibas%20lik%20groz_23_TA_1130_2023.08.11.docx"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file:///U:/Parvaldibas%20likums/Viedoklis_Parvaldibas%20lik%20groz_23_TA_1130_2023.08.11.docx" TargetMode="External"/><Relationship Id="rId12" Type="http://schemas.openxmlformats.org/officeDocument/2006/relationships/hyperlink" Target="https://www.oecd.org/corporate/organising-state-ownership-function.pdf"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file:///U:/Parvaldibas%20likums/Viedoklis_Parvaldibas%20lik%20groz_23_TA_1130_2023.08.11.docx" TargetMode="External"/><Relationship Id="rId11" Type="http://schemas.openxmlformats.org/officeDocument/2006/relationships/hyperlink" Target="file:///U:/Parvaldibas%20likums/Viedoklis_Parvaldibas%20lik%20groz_23_TA_1130_2023.08.11.doc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likumi.lv/ta/id/335616-par-publisku-personu-kapitalsabiedribu-un-publisku-personu-kapitala-dalu-parvaldibas-politikas-nepieciesamajam-izmainam"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file:///U:/Parvaldibas%20likums/Viedoklis_Parvaldibas%20lik%20groz_23_TA_1130_2023.08.11.docx" TargetMode="External"/><Relationship Id="rId14" Type="http://schemas.openxmlformats.org/officeDocument/2006/relationships/hyperlink" Target="https://tapportals.mk.gov.lv/tasks/dc618ee6-9c87-4c52-9415-01d18637bdb4"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KCIZG\Documents\Atbildes_uz_jautajumiem\Users\imedveds\AppData\Local\Temp\LE_veidlapa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LE_veidlapa_2021</Template>
  <TotalTime>0</TotalTime>
  <Pages>3</Pages>
  <Words>6087</Words>
  <Characters>3471</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Medvedska</dc:creator>
  <cp:lastModifiedBy>Ilze Grīnberga</cp:lastModifiedBy>
  <cp:revision>2</cp:revision>
  <dcterms:created xsi:type="dcterms:W3CDTF">2023-08-29T09:25:00Z</dcterms:created>
  <dcterms:modified xsi:type="dcterms:W3CDTF">2023-08-29T09:25:00Z</dcterms:modified>
</cp:coreProperties>
</file>