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22-TA-2349: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20. februāra noteikumos Nr. 97 "Publiskas personas mantas iznomāšanas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Rīkojot elektronisko izsoli, iznomātājs šo noteikumu 25.punktā minēto informāciju ievieto arī elektronisko izsoļu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"Lietotājs elektronisko izsoļu vietnē identificējas, izmantojot kvalificētus vai kvalificētus paaugstinātas drošības elektroniskās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____.punkta nosacījums, kas paredz identifikāciju elektronisko izsoļu vietnē, izmantojot kvalificētus vai kvalificētus paaugstinātas drošības elektroniskās identifikācijas līdzekļus, stājas spēkā 2023.gada 1.maijā."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1.maija autentificēties elektronisko izsoļu vietnē būs iespējams tikai, izmantojot kvalificētus vai kvalificētus paaugstinātas drošības elektroniskās identifikācijas rīkus, turklāt minētais nosacījums ir spēkā arī attiecībā uz ārvalstniekiem. Pārejas periods paredzēts, ievērojot Personu apliecinošu dokumentu likuma regulējumu, kas paredz personas apliecību (eID karti) kā obligātu personu apliecinošu dokumentu no 2023.gada 1.maija, līdz ar to eID kartē iekļautais kvalificētais paaugstinātas drošības elektroniskās identifikācijas rīks būs pieejams visiem eID karšu turētājiem un tas varēs tikt izmantots drošai identifikācijai EIS. Vienlaikus norādāms, ka līdz ar 2021.gada 12.oktobra Ministru kabineta noteikumu Nr. 687 “Grozījumi Ministru kabineta 2012. gada 21. februāra noteikumos Nr. 134 "Personu apliecinošu dokumentu noteikumi”” stāšanos spēkā jau šobrīd ārvalstnieki var noformēt personas apliecību (eID karti), kas nozīmē ārvalstnieku iespējas izmantot personas apliecībā (eID kartē) integrēto kvalificēto paaugstinātas drošīabs elektroniskās identifikācijas līdzekli un ārvalstnieku iespējas piedalīties iizsolēs līdzvērtīgi juridiskajām personām, kuru pārstāvis ir Latvijas iedzīvotājs.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1.3.apakšsadaļa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2.punktu grozījumu spēkā stāšanās datums ir paredzēts 2023.gada 1.jūlijs.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Rīkojot elektronisko izsoli, iznomātājs šo noteikumu 25.punktā minēto informāciju ievieto arī elektronisko izsoļu 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tiek rīkota elektroniskā izsole, tā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Elektroniskā izsole notiek, ievērojot šos noteikumus un normatīvos aktus, kas regulē kārtību, kādā veic darbības elektronisko izsoļu vietnē, un izsoles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29.</w:t>
            </w:r>
            <w:r w:rsidR="00000000" w:rsidRPr="00000000" w:rsidDel="00000000">
              <w:rPr>
                <w:vertAlign w:val="superscript"/>
                <w:rtl w:val="0"/>
              </w:rPr>
              <w:t xml:space="preserve">1</w:t>
            </w:r>
            <w:r w:rsidR="00000000" w:rsidRPr="00000000" w:rsidDel="00000000">
              <w:rPr>
                <w:rtl w:val="0"/>
              </w:rPr>
              <w:t xml:space="preserve"> punkta šā brīža redakcijā ietverto atsauci uz normatīvajiem aktiem, kas regulē kārtību, kādā veic darbības elektronisko izsoļu 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tiek rīkota elektroniskā izsole, tā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Elektroniskā izsole notiek, ievērojot šos noteikumus un normatīvos aktus, kas regulē kārtību, kādā veic darbības elektronisko izsoļu vietnē, organizējot izsoles publiskas personas mantas pārdošanai, un izsoles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Vienošanas panākta starpinstitūciju sanāksmē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Nr.318 1.</w:t>
            </w:r>
            <w:r w:rsidR="00000000" w:rsidRPr="00000000" w:rsidDel="00000000">
              <w:rPr>
                <w:vertAlign w:val="superscript"/>
                <w:rtl w:val="0"/>
              </w:rPr>
              <w:t xml:space="preserve">1</w:t>
            </w:r>
            <w:r w:rsidR="00000000" w:rsidRPr="00000000" w:rsidDel="00000000">
              <w:rPr>
                <w:rtl w:val="0"/>
              </w:rPr>
              <w:t xml:space="preserve"> punktā noteikts, ka darbības elektronisko izsoļu vietnē, organizējot izsoles publiskas personas mantas pārdošanai, tai skaitā tādas mantas, kas nodota iestādes vai kapitālsabiedrības valdījumā vai turējumā, kā arī privāto tiesību juridisko personu mantas izsoles, veic saskaņā ar Tiesu administrāciju noslēgto vienošanos un tajā noteikto sadarbības kārtību. Tādējādi minētajos noteikumos paredzētais attiecināms uz publiskas personas mantas pārdošanu un arī gadījumā, ja tiktu ņemta vērā Tieslietu ministrijas piedāvātā redakcija, MK noteikumos Nr.318 nebūtu norādes, kas nodrošinātu nepārprotamu šo noteikumu piemērošanu kopsakarā ar šajā noteikumu grozījumu projektā ietverto regulējumu, kā arī nebūtu pamata vienošanās noslēgšanai ar Tiesu administrāciju šādu izsoļu rīkošanai. Līdz ar to tiesiskās skaidrības nodrošināšanas un normatīvā regulējuma pareizas piemērošanas nolūkā nepieciešams veikt atbilstošu grozījumu arī MK noteikumos Nr.318.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skatīt pamatojumu izziņas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tiek rīkota elektroniskā izsole, tā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Elektroniskā izsole notiek, ievērojot šos noteikumus un normatīvos aktus, kas regulē kārtību, kādā veic darbības elektronisko izsoļu vietnē, un izsoles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32.punkta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pieteikumu rakstiskai vai mutiskai izsolei par nomas objektu, kas ir nekustamais īpašums, iznomātājam iesniedz vairākas valsts iestādes, atvasinātas publiskas personas vai to iestādes, kapitālsabiedrības vai elektroniskā izsolē piesakās privātpersonas, kurām nekustamais īpašums nepieciešams publiskas funkcijas vai deleģēta valsts pārvaldes uzdevuma veikšanai, nomas objektu iznomā šādā prioritārā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anotācijām, kāpēc tiek piemērots atšķirīgs izņēmums attiecībā uz iznomājamo objektu un izsoles veidu, ja tam piesakās valsts iestādes, atvasinātas publiskas personas vai to iestādes, kapitālsabiedrības vai privātpersonas, kurām nekustamais īpašums nepieciešams publiskas funkcijas vai deleģēta valsts pārvaldes uzdevuma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32.punkta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uz nomas objektu, kas ir nekustamais īpašums, piesakās vairākas valsts iestādes, atvasinātas publiskas personas vai to iestādes, kapitālsabiedrības vai privātpersonas, kurām nekustamais īpašums nepieciešams publiskas funkcijas vai deleģēta valsts pārvaldes uzdevuma veikšanai, nomas objektu iznomā šādā prioritārā secībā:”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tās 2023.gada 4.janvāra atzinumā izteikto iebildumu un aicina anotācijā svītrot norādi par grozījumu veikšanas nepieciešamību Ministru kabineta 2015.gada 16.jūnija noteikumos Nr.318 “Elektronisko izsoļu vietnes noteikumi” (anotācijas 4.1.punkts).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skaidra tiesiskā regulējuma nodrošināšanai, lai Ministru kabineta 2015.gada 16.jūnija noteikumu Nr.318 "Elektronisko izsoļu vietnes noteikumi" normas, kurās šobrīd ir minēta atsavināšana, tiktu attiecināta arī uz publiskas personas mantas iznomāšanu, aicinām precizēt  noteikumu projekta 29.</w:t>
            </w:r>
            <w:r w:rsidR="00000000" w:rsidRPr="00000000" w:rsidDel="00000000">
              <w:rPr>
                <w:vertAlign w:val="superscript"/>
                <w:rtl w:val="0"/>
              </w:rPr>
              <w:t xml:space="preserve">1 </w:t>
            </w:r>
            <w:r w:rsidR="00000000" w:rsidRPr="00000000" w:rsidDel="00000000">
              <w:rPr>
                <w:rtl w:val="0"/>
              </w:rPr>
              <w:t xml:space="preserve">punkta šā brīža redakcijā  jau ietverto atsauci uz Ministru kabineta 2015.gada 16.jūnija noteikumiem Nr.318 "Elektronisko izsoļu vietnes noteikumi", (skat. iebildumu pie noteikumu projekta 29.</w:t>
            </w:r>
            <w:r w:rsidR="00000000" w:rsidRPr="00000000" w:rsidDel="00000000">
              <w:rPr>
                <w:vertAlign w:val="superscript"/>
                <w:rtl w:val="0"/>
              </w:rPr>
              <w:t xml:space="preserve">1</w:t>
            </w:r>
            <w:r w:rsidR="00000000" w:rsidRPr="00000000" w:rsidDel="00000000">
              <w:rPr>
                <w:rtl w:val="0"/>
              </w:rPr>
              <w:t xml:space="preserve">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Vienošanas panākta starpinstitūciju sanāksmē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16.jūnija noteikumi Nr.318 "Elektronisko izsoļu vietnes noteikumi" (turpmāk - MK noteikumi Nr.318) nosaka kārtību, kādā veic darbības elektronisko izsoļu vietnē (https://izsoles.ta.gov.lv). Saskaņā ar MK noteikumu Nr.318 1.</w:t>
            </w:r>
            <w:r w:rsidR="00000000" w:rsidRPr="00000000" w:rsidDel="00000000">
              <w:rPr>
                <w:vertAlign w:val="superscript"/>
                <w:rtl w:val="0"/>
              </w:rPr>
              <w:t xml:space="preserve">1</w:t>
            </w:r>
            <w:r w:rsidR="00000000" w:rsidRPr="00000000" w:rsidDel="00000000">
              <w:rPr>
                <w:rtl w:val="0"/>
              </w:rPr>
              <w:t xml:space="preserve"> punktu darbības elektronisko izsoļu vietnē, organizējot izsoles publiskas personas mantas pārdošanai, tai skaitā tādas mantas, kas nodota iestādes vai kapitālsabiedrības valdījumā vai turējumā, kā arī privāto tiesību juridisko personu mantas izsoles, veic saskaņā ar Tiesu administrāciju noslēgto vienošanos un tajā noteikto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mantas atsavināšana un iznomāšana ir divas atšķirīgas darbības (detalizētāku skaidrojumu lūdzam skatīt izziņas 5.punktā) un tādējādi atbilstoši MK noteikumu Nr.318 1.1 punktā noteiktajam šobrīd šie noteikumi nevar tikt attiecināti uz publiskas personas mantas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veikt grozījumus MK noteikumos Nr.318, attiecinot šo noteikumu piemērošanu arī uz publiskas personas mantas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Ministru kabineta 2015.gada 16.jūnija noteikumos Nr.318 “Elektronisko izsoļu vietnes noteikumi” nav nepieciešamas. Lai nodrošinātu iespēju publiskai personai normatīvajos aktos noteiktos gadījumos nomas tiesības izsolīt Elektronisko izsoļu vietnē, šādas tiesības vai pienākums nosakāms normatīvajos aktos, kas nosaka publiskas personas mantas iznomāšanas kārtību. Attiecīgi nomas tiesību izsoles Tiesu administrācija Elektronisko izsoļu vietnē organizē, pamatojoties uz Ministru kabineta 2022.gada 20.septembra noteikumu Nr.585 "Tiesu administrācijas nolikums" 4.15. apakšpunktu un speciālo regulējumu - Ministru kabineta 2018.gada 20.februāra noteikumiem Nr.97 "Publiskas personas mantas iznomāšanas noteikumi" -, kurā tieši noteikta nomas tiesību izsolīšana Elektronisko izsoļu vietnē un cita starp ietverta atruna, ka elektroniskā izsole notiek, ievērojot normatīvos aktus, kas regulē kārtību, kādā veic darbības elektronisko izsoļu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Vienošanas panākta starpinstitūciju sanāksmē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2015.gada 16.jūnija noteikumu Nr.318 "Elektronisko izsoļu vietnes noteikumi" 1.</w:t>
            </w:r>
            <w:r w:rsidR="00000000" w:rsidRPr="00000000" w:rsidDel="00000000">
              <w:rPr>
                <w:vertAlign w:val="superscript"/>
                <w:rtl w:val="0"/>
              </w:rPr>
              <w:t xml:space="preserve">1</w:t>
            </w:r>
            <w:r w:rsidR="00000000" w:rsidRPr="00000000" w:rsidDel="00000000">
              <w:rPr>
                <w:rtl w:val="0"/>
              </w:rPr>
              <w:t xml:space="preserve"> punktam darbības elektronisko izsoļu vietnē, organizējot izsoles publiskas personas mantas pārdošanai, tai skaitā tādas mantas, kas nodota iestādes vai kapitālsabiedrības valdījumā vai turējumā, kā arī privāto tiesību juridisko personu mantas izsoles, veic saskaņā ar Tiesu administrāciju noslēgto vienošanos un tajā noteikto sadarbības kārtību. Tāpat arī minēto noteikumu 25.1, 38. un 40.punktā ir iekļauta atsauce uz publiskas personas mantas atsavināšanas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atsavināšana un iznomāšana ir divas atšķirīgas darbības. Proti, atsavināšana ir publiskas personas mantas pārdošana, mainīšana, ieguldīšana kapitālsabiedrībā un nodošana bez atlīdzības, kā rezultātā īpašuma tiesības no mantas atsavinātāja pāriet mantas ieguvējam (Publiskas personas mantas atsavināšanas likuma 1.panta 1.punkts), savukārt noma ir līgums, ar ko viena puse piešķir vai apsola otrai par zināmu nomas vai īres maksu kādas lietas lietošanu (Civillikuma 2112.pants), līdz ar to šādā gadījumā nemainās mantas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atsavināšana un iznomāšana ir divas atšķirīgas darbības, Ministru kabineta 2015.gada 16.jūnija noteikumu Nr.318 "Elektronisko izsoļu vietnes noteikumi" normas, kurās šobrīd ir minēta atsavināšana, ir jāattiecina arī uz iznomāšanu.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2.1.apakšnodaļas nosaukumu šādā redakcijā un attiecīgi mainīt turpmāko apakšnodaļu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Vispārīgie iznomāšanas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punktu ar precžiāku norādi, kurā vietā ir paredzēts papildināt ar 2.1.apakšnodaļu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2.nodaļu ar 2.1.apakšnodaļas nosaukumu šādā redakcijā un attiecīgi mainīt turpmāko apakšnodaļu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Vispārīgie iznomāšanas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25.punktu ar 25.9.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r w:rsidR="00000000" w:rsidRPr="00000000" w:rsidDel="00000000">
              <w:rPr>
                <w:vertAlign w:val="superscript"/>
                <w:rtl w:val="0"/>
              </w:rPr>
              <w:t xml:space="preserve">1</w:t>
            </w:r>
            <w:r w:rsidR="00000000" w:rsidRPr="00000000" w:rsidDel="00000000">
              <w:rPr>
                <w:rtl w:val="0"/>
              </w:rPr>
              <w:t xml:space="preserve"> ja nomas tiesības tiek piešķirtas elektroniskā izsolē, - elektronisko izsoļu vietni https://izsoles.ta.gov.lv (turpmāk - elektronisko izsoļu vietne), kur pieejama informācija par izsoles kārtību un nosacījumiem, ar kādiem personas var reģistrēties dalībai izsolē un piedalīties solīšanā, izsoles sākuma datums un laiks, izsoles noslēguma datums un laiks, izsoles solis;”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attiecīgā punkta preambulu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25.9.1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25.punktu ar 25.9.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r w:rsidR="00000000" w:rsidRPr="00000000" w:rsidDel="00000000">
              <w:rPr>
                <w:vertAlign w:val="superscript"/>
                <w:rtl w:val="0"/>
              </w:rPr>
              <w:t xml:space="preserve">1</w:t>
            </w:r>
            <w:r w:rsidR="00000000" w:rsidRPr="00000000" w:rsidDel="00000000">
              <w:rPr>
                <w:rtl w:val="0"/>
              </w:rPr>
              <w:t xml:space="preserve"> ja nomas tiesības tiek piešķirtas elektroniskā izsolē, - elektronisko izsoļu vietni https://izsoles.ta.gov.lv (turpmāk - elektronisko izsoļu vietne), kur pieejama informācija par izsoles kārtību un nosacījumiem, ar kādiem personas var reģistrēties dalībai izsolē un piedalīties solīšanā, izsoles sākuma datums un laiks, izsoles noslēguma datums un laiks, izsoles solis;”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29.punkta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 kura vēlas nomas objektu nomāt rakstiskā vai mutiskā izsolē, iesniedz iznomātājam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punkts paredz izteikt noteikumu 29.punkta pirmo teikumu jaunā redakcijā, tad svītrot no teikuma jaunās redakcijas skaitli "29.".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vēlas nomas objektu nomāt rakstiskā vai mutiskā izsolē, iesniedz iznomātājam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29.punkta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vēlas nomas objektu nomāt rakstiskā vai mutiskā izsolē, iesniedz iznomātājam pieteikumu.”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Apakšasdaļā "Risinājuma apraksts" noteikts: "Pārejas periods paredzēts, ievērojot Personu apliecinošu dokumentu likuma regulējumu, kas paredz eID karti kā obligātu personu apliecinošu dokumentu no 2023.gada 1.maija, līdz ar to eID kartē iekļautais kvalificētais paaugstinātas drošības elektroniskās identifikācijas rīks būs pieejams visiem eID karšu turētājiem un tas varēs tikt izmantots drošai identifikācijai elektronisko izsoļu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Personu apliecinošu dokumentu likumā, kuri nosaka, ka personai, kura sasniegusi 15 gadu vecumu un kurai līdz 2023. gada 30. aprīlim izsniegta tikai pase, pase ir obligāts personu apliecinošs dokuments, un prasību par personas apliecību kā obligātu personu apliecinošu dokumentu nepiemēro līdz dienai, kad attiecīgā pase kļuvusi lietošanai nederīga (Sk. pārejas noteikumu 5. punktu). Ievērojot minēto, jāņem vērā, ka atsevišķa sabiedrības daļa nebūs saņēmusi eID karti un eID kartē iekļautais kvalificētais paaugstinātas drošības elektroniskās identifikācijas rīks var nebūt pieejams noteiktai sabiedrības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atsauci uz Personu apliecinošu dokumentu likumu, atbilstoši aktuālajai vai nākotnes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22-TA-2349</w:t>
    </w:r>
    <w:r>
      <w:br/>
    </w:r>
    <w:r w:rsidR="00000000" w:rsidRPr="00000000" w:rsidDel="00000000">
      <w:rPr>
        <w:rtl w:val="0"/>
      </w:rPr>
      <w:t xml:space="preserve">20.06.2023. 18.40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22-TA-2349</w:t>
    </w:r>
    <w:r>
      <w:br/>
    </w:r>
    <w:r w:rsidR="00000000" w:rsidRPr="00000000" w:rsidDel="00000000">
      <w:rPr>
        <w:rtl w:val="0"/>
      </w:rPr>
      <w:t xml:space="preserve">20.06.2023. 18.40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Izziņa_22-TA-2349.docx</dc:title>
</cp:coreProperties>
</file>

<file path=docProps/custom.xml><?xml version="1.0" encoding="utf-8"?>
<Properties xmlns="http://schemas.openxmlformats.org/officeDocument/2006/custom-properties" xmlns:vt="http://schemas.openxmlformats.org/officeDocument/2006/docPropsVTypes"/>
</file>