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642" w:rsidRPr="00D55642" w:rsidRDefault="00D11D28" w:rsidP="00D55642">
      <w:pPr>
        <w:pStyle w:val="Header"/>
        <w:tabs>
          <w:tab w:val="clear" w:pos="4320"/>
          <w:tab w:val="clear" w:pos="8640"/>
          <w:tab w:val="center" w:pos="4536"/>
          <w:tab w:val="right" w:pos="9071"/>
        </w:tabs>
        <w:jc w:val="center"/>
        <w:rPr>
          <w:rFonts w:ascii="Times New Roman" w:eastAsia="Times New Roman" w:hAnsi="Times New Roman"/>
          <w:color w:val="231F20"/>
          <w:sz w:val="14"/>
          <w:szCs w:val="17"/>
        </w:rPr>
      </w:pPr>
      <w:bookmarkStart w:id="0" w:name="_GoBack"/>
      <w:bookmarkEnd w:id="0"/>
      <w:r>
        <w:rPr>
          <w:noProof/>
          <w:lang w:eastAsia="lv-LV"/>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1022985</wp:posOffset>
                </wp:positionV>
                <wp:extent cx="5039995" cy="0"/>
                <wp:effectExtent l="10160" t="13335" r="7620" b="5715"/>
                <wp:wrapSquare wrapText="bothSides"/>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A37E02" id="_x0000_t32" coordsize="21600,21600" o:spt="32" o:oned="t" path="m,l21600,21600e" filled="f">
                <v:path arrowok="t" fillok="f" o:connecttype="none"/>
                <o:lock v:ext="edit" shapetype="t"/>
              </v:shapetype>
              <v:shape id="AutoShape 1" o:spid="_x0000_s1026" type="#_x0000_t32" style="position:absolute;margin-left:0;margin-top:80.55pt;width:396.85pt;height:0;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" strokeweight=".25pt">
                <w10:wrap type="square"/>
              </v:shape>
            </w:pict>
          </mc:Fallback>
        </mc:AlternateContent>
      </w:r>
      <w:r>
        <w:rPr>
          <w:noProof/>
          <w:lang w:eastAsia="lv-LV"/>
        </w:rPr>
        <w:drawing>
          <wp:anchor distT="0" distB="0" distL="114300" distR="114300" simplePos="0" relativeHeight="251657216" behindDoc="1" locked="0" layoutInCell="1" allowOverlap="1">
            <wp:simplePos x="0" y="0"/>
            <wp:positionH relativeFrom="margin">
              <wp:align>center</wp:align>
            </wp:positionH>
            <wp:positionV relativeFrom="margin">
              <wp:posOffset>0</wp:posOffset>
            </wp:positionV>
            <wp:extent cx="5403850" cy="972185"/>
            <wp:effectExtent l="0" t="0" r="0" b="0"/>
            <wp:wrapTopAndBottom/>
            <wp:docPr id="2" name="Picture 4" descr="vienkrasu_header_veidlapa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enkrasu_header_veidlapa_28-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 xml:space="preserve">1. līnija 1 k-2, Rīga, LV-1026; tālr. 67219263; </w:t>
      </w:r>
      <w:r w:rsidRPr="00335032">
        <w:rPr>
          <w:rFonts w:ascii="Times New Roman" w:eastAsia="Times New Roman" w:hAnsi="Times New Roman"/>
          <w:color w:val="231F20"/>
          <w:sz w:val="17"/>
          <w:szCs w:val="17"/>
        </w:rPr>
        <w:t>e-pasts</w:t>
      </w:r>
      <w:r>
        <w:rPr>
          <w:rFonts w:ascii="Times New Roman" w:eastAsia="Times New Roman" w:hAnsi="Times New Roman"/>
          <w:color w:val="231F20"/>
          <w:sz w:val="17"/>
          <w:szCs w:val="17"/>
        </w:rPr>
        <w:t xml:space="preserve">: </w:t>
      </w:r>
      <w:r w:rsidR="00444EF8">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rsidR="00D55642" w:rsidRPr="006B01C5" w:rsidRDefault="00D55642" w:rsidP="00D55642">
      <w:pPr>
        <w:pStyle w:val="Header"/>
        <w:jc w:val="center"/>
        <w:rPr>
          <w:rFonts w:ascii="Times New Roman" w:hAnsi="Times New Roman"/>
        </w:rPr>
      </w:pPr>
    </w:p>
    <w:p w:rsidR="00D55642" w:rsidRPr="006B01C5" w:rsidRDefault="00D55642" w:rsidP="00D55642">
      <w:pPr>
        <w:spacing w:after="0" w:line="240" w:lineRule="auto"/>
        <w:jc w:val="center"/>
        <w:rPr>
          <w:rFonts w:ascii="Times New Roman" w:hAnsi="Times New Roman"/>
        </w:rPr>
      </w:pPr>
    </w:p>
    <w:p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rsidR="00F05AE8" w:rsidRPr="006F1F22" w:rsidRDefault="00F05AE8" w:rsidP="00CF3A42">
      <w:pPr>
        <w:spacing w:after="0" w:line="240" w:lineRule="auto"/>
        <w:rPr>
          <w:rFonts w:ascii="Times New Roman" w:hAnsi="Times New Roman"/>
          <w:sz w:val="24"/>
          <w:szCs w:val="24"/>
        </w:rPr>
      </w:pPr>
    </w:p>
    <w:tbl>
      <w:tblPr>
        <w:tblW w:w="0" w:type="auto"/>
        <w:tblLayout w:type="fixed"/>
        <w:tblLook w:val="04A0" w:firstRow="1" w:lastRow="0" w:firstColumn="1" w:lastColumn="0" w:noHBand="0" w:noVBand="1"/>
      </w:tblPr>
      <w:tblGrid>
        <w:gridCol w:w="3227"/>
        <w:gridCol w:w="3260"/>
        <w:gridCol w:w="3260"/>
      </w:tblGrid>
      <w:tr w:rsidR="006143B8" w:rsidTr="00472AFF">
        <w:tc>
          <w:tcPr>
            <w:tcW w:w="3227" w:type="dxa"/>
            <w:hideMark/>
          </w:tcPr>
          <w:p w:rsidR="00735284" w:rsidRDefault="00735284">
            <w:pPr>
              <w:spacing w:after="0" w:line="240" w:lineRule="auto"/>
              <w:jc w:val="both"/>
              <w:rPr>
                <w:rFonts w:ascii="Times New Roman" w:hAnsi="Times New Roman"/>
                <w:sz w:val="28"/>
                <w:szCs w:val="24"/>
              </w:rPr>
            </w:pPr>
            <w:r>
              <w:rPr>
                <w:rFonts w:ascii="Times New Roman" w:hAnsi="Times New Roman"/>
                <w:noProof/>
                <w:sz w:val="28"/>
                <w:szCs w:val="24"/>
              </w:rPr>
              <w:t>27.04.2021</w:t>
            </w:r>
          </w:p>
        </w:tc>
        <w:tc>
          <w:tcPr>
            <w:tcW w:w="3260" w:type="dxa"/>
            <w:hideMark/>
          </w:tcPr>
          <w:p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1-57/1104</w:t>
            </w:r>
          </w:p>
        </w:tc>
        <w:tc>
          <w:tcPr>
            <w:tcW w:w="3260" w:type="dxa"/>
            <w:hideMark/>
          </w:tcPr>
          <w:p w:rsidR="00BD3CC7" w:rsidRDefault="00BD3CC7">
            <w:pPr>
              <w:spacing w:after="0" w:line="240" w:lineRule="auto"/>
              <w:jc w:val="both"/>
              <w:rPr>
                <w:rFonts w:ascii="Times New Roman" w:hAnsi="Times New Roman"/>
                <w:sz w:val="28"/>
                <w:szCs w:val="24"/>
              </w:rPr>
            </w:pPr>
          </w:p>
          <w:p w:rsidR="00BD3CC7" w:rsidRDefault="00BD3CC7">
            <w:pPr>
              <w:spacing w:after="0" w:line="240" w:lineRule="auto"/>
              <w:jc w:val="both"/>
              <w:rPr>
                <w:rFonts w:ascii="Times New Roman" w:hAnsi="Times New Roman"/>
                <w:sz w:val="28"/>
                <w:szCs w:val="24"/>
              </w:rPr>
            </w:pPr>
            <w:r>
              <w:rPr>
                <w:rFonts w:ascii="Times New Roman" w:hAnsi="Times New Roman"/>
                <w:noProof/>
                <w:sz w:val="28"/>
                <w:szCs w:val="24"/>
              </w:rPr>
              <w:t>Aizsardzības ministrija</w:t>
            </w:r>
          </w:p>
          <w:p w:rsidR="00BD3CC7" w:rsidRDefault="00BD3CC7">
            <w:pPr>
              <w:spacing w:after="0" w:line="240" w:lineRule="auto"/>
              <w:jc w:val="both"/>
              <w:rPr>
                <w:rFonts w:ascii="Times New Roman" w:hAnsi="Times New Roman"/>
                <w:sz w:val="28"/>
                <w:szCs w:val="24"/>
              </w:rPr>
            </w:pPr>
          </w:p>
        </w:tc>
      </w:tr>
      <w:tr w:rsidR="006143B8" w:rsidTr="00B60998">
        <w:tc>
          <w:tcPr>
            <w:tcW w:w="3227" w:type="dxa"/>
          </w:tcPr>
          <w:p w:rsidR="00735284" w:rsidRDefault="00C922E2">
            <w:pPr>
              <w:spacing w:after="0" w:line="240" w:lineRule="auto"/>
              <w:jc w:val="both"/>
              <w:rPr>
                <w:rFonts w:ascii="Times New Roman" w:hAnsi="Times New Roman"/>
                <w:sz w:val="28"/>
                <w:szCs w:val="24"/>
              </w:rPr>
            </w:pPr>
            <w:r>
              <w:rPr>
                <w:rFonts w:ascii="Times New Roman" w:hAnsi="Times New Roman"/>
                <w:sz w:val="28"/>
                <w:szCs w:val="24"/>
              </w:rPr>
              <w:t xml:space="preserve">Uz 01.04.2021. </w:t>
            </w:r>
            <w:r w:rsidR="00C37199">
              <w:rPr>
                <w:rFonts w:ascii="Times New Roman" w:hAnsi="Times New Roman"/>
                <w:sz w:val="28"/>
                <w:szCs w:val="24"/>
              </w:rPr>
              <w:t xml:space="preserve">VSS prot. </w:t>
            </w:r>
            <w:r>
              <w:rPr>
                <w:rFonts w:ascii="Times New Roman" w:hAnsi="Times New Roman"/>
                <w:sz w:val="28"/>
                <w:szCs w:val="24"/>
              </w:rPr>
              <w:t>Nr. 13,</w:t>
            </w:r>
            <w:r w:rsidR="00C37199">
              <w:rPr>
                <w:rFonts w:ascii="Times New Roman" w:hAnsi="Times New Roman"/>
                <w:sz w:val="28"/>
                <w:szCs w:val="24"/>
              </w:rPr>
              <w:t>2.§</w:t>
            </w:r>
            <w:r w:rsidRPr="00C922E2">
              <w:rPr>
                <w:rFonts w:ascii="Times New Roman" w:hAnsi="Times New Roman"/>
                <w:sz w:val="28"/>
                <w:szCs w:val="24"/>
              </w:rPr>
              <w:t xml:space="preserve"> </w:t>
            </w:r>
            <w:r>
              <w:rPr>
                <w:rFonts w:ascii="Times New Roman" w:hAnsi="Times New Roman"/>
                <w:sz w:val="28"/>
                <w:szCs w:val="24"/>
              </w:rPr>
              <w:t>(</w:t>
            </w:r>
            <w:r w:rsidRPr="00C922E2">
              <w:rPr>
                <w:rFonts w:ascii="Times New Roman" w:hAnsi="Times New Roman"/>
                <w:sz w:val="28"/>
                <w:szCs w:val="24"/>
              </w:rPr>
              <w:t>VSS-289</w:t>
            </w:r>
            <w:r>
              <w:rPr>
                <w:rFonts w:ascii="Times New Roman" w:hAnsi="Times New Roman"/>
                <w:sz w:val="28"/>
                <w:szCs w:val="24"/>
              </w:rPr>
              <w:t>)</w:t>
            </w:r>
          </w:p>
        </w:tc>
        <w:tc>
          <w:tcPr>
            <w:tcW w:w="3260" w:type="dxa"/>
          </w:tcPr>
          <w:p w:rsidR="00735284" w:rsidRDefault="00735284">
            <w:pPr>
              <w:spacing w:after="0" w:line="240" w:lineRule="auto"/>
              <w:jc w:val="both"/>
              <w:rPr>
                <w:rFonts w:ascii="Times New Roman" w:hAnsi="Times New Roman"/>
                <w:sz w:val="28"/>
                <w:szCs w:val="24"/>
              </w:rPr>
            </w:pPr>
          </w:p>
        </w:tc>
        <w:tc>
          <w:tcPr>
            <w:tcW w:w="3260" w:type="dxa"/>
          </w:tcPr>
          <w:p w:rsidR="00735284" w:rsidRDefault="00735284">
            <w:pPr>
              <w:spacing w:after="0" w:line="240" w:lineRule="auto"/>
              <w:jc w:val="both"/>
              <w:rPr>
                <w:rFonts w:ascii="Times New Roman" w:hAnsi="Times New Roman"/>
                <w:sz w:val="28"/>
                <w:szCs w:val="24"/>
              </w:rPr>
            </w:pPr>
          </w:p>
        </w:tc>
      </w:tr>
    </w:tbl>
    <w:p w:rsidR="00735284" w:rsidRDefault="00735284" w:rsidP="00735284">
      <w:pPr>
        <w:spacing w:after="0" w:line="240" w:lineRule="auto"/>
        <w:jc w:val="both"/>
        <w:rPr>
          <w:rFonts w:ascii="Times New Roman" w:hAnsi="Times New Roman"/>
          <w:sz w:val="24"/>
          <w:szCs w:val="24"/>
        </w:rPr>
      </w:pPr>
    </w:p>
    <w:p w:rsidR="00735284" w:rsidRDefault="00735284" w:rsidP="00735284">
      <w:pPr>
        <w:spacing w:after="0" w:line="240" w:lineRule="auto"/>
        <w:rPr>
          <w:rFonts w:ascii="Times New Roman" w:hAnsi="Times New Roman"/>
          <w:sz w:val="28"/>
          <w:szCs w:val="28"/>
        </w:rPr>
      </w:pPr>
    </w:p>
    <w:p w:rsidR="00735284" w:rsidRDefault="00735284" w:rsidP="00735284">
      <w:pPr>
        <w:widowControl/>
        <w:tabs>
          <w:tab w:val="left" w:pos="-1701"/>
        </w:tabs>
        <w:spacing w:after="0" w:line="240" w:lineRule="auto"/>
        <w:rPr>
          <w:rFonts w:ascii="Times New Roman" w:eastAsia="Times New Roman" w:hAnsi="Times New Roman"/>
          <w:b/>
          <w:sz w:val="28"/>
          <w:szCs w:val="28"/>
        </w:rPr>
      </w:pPr>
      <w:r>
        <w:rPr>
          <w:rFonts w:ascii="Times New Roman" w:eastAsia="Times New Roman" w:hAnsi="Times New Roman"/>
          <w:b/>
          <w:noProof/>
          <w:sz w:val="28"/>
          <w:szCs w:val="28"/>
        </w:rPr>
        <w:t>Par likumprojektu  “Grozījumi Nacionālās drošības likumā”  (VSS-289)</w:t>
      </w:r>
    </w:p>
    <w:p w:rsidR="00735284" w:rsidRDefault="00735284" w:rsidP="00735284">
      <w:pPr>
        <w:spacing w:after="0" w:line="240" w:lineRule="auto"/>
        <w:rPr>
          <w:rFonts w:ascii="Times New Roman" w:hAnsi="Times New Roman"/>
          <w:sz w:val="28"/>
          <w:szCs w:val="28"/>
        </w:rPr>
      </w:pPr>
    </w:p>
    <w:p w:rsidR="00735284" w:rsidRDefault="00735284" w:rsidP="00E33F25">
      <w:pPr>
        <w:spacing w:after="0" w:line="240" w:lineRule="auto"/>
        <w:jc w:val="both"/>
        <w:rPr>
          <w:rFonts w:ascii="Times New Roman" w:hAnsi="Times New Roman"/>
          <w:sz w:val="28"/>
          <w:szCs w:val="28"/>
        </w:rPr>
      </w:pPr>
    </w:p>
    <w:p w:rsidR="00E33F25" w:rsidRPr="00E33F25" w:rsidRDefault="00E33F25" w:rsidP="00E33F25">
      <w:pPr>
        <w:spacing w:after="0" w:line="240" w:lineRule="auto"/>
        <w:jc w:val="both"/>
        <w:rPr>
          <w:rFonts w:ascii="Times New Roman" w:hAnsi="Times New Roman"/>
          <w:sz w:val="28"/>
          <w:szCs w:val="28"/>
        </w:rPr>
      </w:pPr>
      <w:r w:rsidRPr="00E33F25">
        <w:rPr>
          <w:rFonts w:ascii="Times New Roman" w:hAnsi="Times New Roman"/>
          <w:sz w:val="28"/>
          <w:szCs w:val="28"/>
        </w:rPr>
        <w:tab/>
      </w:r>
      <w:r w:rsidRPr="00E33F25">
        <w:rPr>
          <w:rFonts w:ascii="Times New Roman" w:hAnsi="Times New Roman"/>
          <w:sz w:val="28"/>
          <w:szCs w:val="28"/>
        </w:rPr>
        <w:tab/>
        <w:t>Iekšlietu ministrija savas kompetences ietvaros ir izskatījusi 2021. gada 1. aprīļa valsts sekretāru sanāksmē izsludināto Likumprojektu “Grozījumi Nacionālās drošības likumā” (turpmāk – Likumprojekts) un tam pievienoto sākotnējās ietekmes novērtējuma ziņojumu (anotāciju) (protokols Nr. 13, 2.§, VSS-289) un saskaņo to tālāku virzību, ja tiks ņemti vērā Iekšlietu ministrijas izteiktie iebildumi.</w:t>
      </w:r>
    </w:p>
    <w:p w:rsidR="00E33F25" w:rsidRPr="00E33F25" w:rsidRDefault="00E33F25" w:rsidP="00E33F25">
      <w:pPr>
        <w:spacing w:after="0" w:line="240" w:lineRule="auto"/>
        <w:jc w:val="both"/>
        <w:rPr>
          <w:rFonts w:ascii="Times New Roman" w:hAnsi="Times New Roman"/>
          <w:sz w:val="28"/>
          <w:szCs w:val="28"/>
        </w:rPr>
      </w:pPr>
    </w:p>
    <w:p w:rsidR="00E33F25" w:rsidRPr="00E33F25" w:rsidRDefault="00E33F25" w:rsidP="00E33F25">
      <w:pPr>
        <w:spacing w:after="0" w:line="240" w:lineRule="auto"/>
        <w:jc w:val="both"/>
        <w:rPr>
          <w:rFonts w:ascii="Times New Roman" w:hAnsi="Times New Roman"/>
          <w:sz w:val="28"/>
          <w:szCs w:val="28"/>
        </w:rPr>
      </w:pPr>
      <w:r w:rsidRPr="00E33F25">
        <w:rPr>
          <w:rFonts w:ascii="Times New Roman" w:hAnsi="Times New Roman"/>
          <w:sz w:val="28"/>
          <w:szCs w:val="28"/>
        </w:rPr>
        <w:t>1.</w:t>
      </w:r>
      <w:r w:rsidRPr="00E33F25">
        <w:rPr>
          <w:rFonts w:ascii="Times New Roman" w:hAnsi="Times New Roman"/>
          <w:sz w:val="28"/>
          <w:szCs w:val="28"/>
        </w:rPr>
        <w:tab/>
        <w:t>Iekšlietu ministrijas izsaka šādus iebildumus:</w:t>
      </w:r>
    </w:p>
    <w:p w:rsidR="00E33F25" w:rsidRPr="00E33F25" w:rsidRDefault="00E33F25" w:rsidP="00E33F25">
      <w:pPr>
        <w:spacing w:after="0" w:line="240" w:lineRule="auto"/>
        <w:jc w:val="both"/>
        <w:rPr>
          <w:rFonts w:ascii="Times New Roman" w:hAnsi="Times New Roman"/>
          <w:sz w:val="28"/>
          <w:szCs w:val="28"/>
        </w:rPr>
      </w:pPr>
    </w:p>
    <w:p w:rsidR="00E33F25" w:rsidRPr="00E33F25" w:rsidRDefault="00E33F25" w:rsidP="00E33F25">
      <w:pPr>
        <w:spacing w:after="0" w:line="240" w:lineRule="auto"/>
        <w:jc w:val="both"/>
        <w:rPr>
          <w:rFonts w:ascii="Times New Roman" w:hAnsi="Times New Roman"/>
          <w:sz w:val="28"/>
          <w:szCs w:val="28"/>
        </w:rPr>
      </w:pPr>
      <w:r w:rsidRPr="00E33F25">
        <w:rPr>
          <w:rFonts w:ascii="Times New Roman" w:hAnsi="Times New Roman"/>
          <w:sz w:val="28"/>
          <w:szCs w:val="28"/>
        </w:rPr>
        <w:t>1.1. Anotācijas 7.lapā norādītas institūcijas, kurām jāsniedz informācija Ekonomikas ministrijai par komercsabiedrībām, biedrībām un nodibinājumiem, kuras atbilst nacionālajai drošībai nozīmīgu komercsabiedrību kritērijiem. Attiecīgi Iekšlietu ministrijai anotācijā ir paredzēts uzdevums sniegt informāciju Ekonomikas ministrijai par komercsabiedrībām, biedrībām un nodibinājumiem, kuru īpašumā vai valdījumā atrodas kritiskā infrastruktūra. Ņemot vērā to, ka kritiskā infrastruktūra ir sadalīta pa sektoriem, un tās pārraudzību, ieskaitot arī komercsabiedrību, biedrību vai nodibinājumu, kuriem pieder vai to valdījumā atrodas kritiskā infrastruktūra, veic valsts drošības iestādes, lūdzam anotācijā norādīt, ka informāciju Ekonomikas ministrijai saistībā ar komercsabiedrībām, biedrībām un nodibinājumiem, kuru īpašumā vai valdījumā atrodas kritiskā infrastruktūra, sniedz valsts drošības iestādes atbilstoši to kompetencei.</w:t>
      </w:r>
    </w:p>
    <w:p w:rsidR="00E33F25" w:rsidRPr="00E33F25" w:rsidRDefault="00E33F25" w:rsidP="00E33F25">
      <w:pPr>
        <w:spacing w:after="0" w:line="240" w:lineRule="auto"/>
        <w:jc w:val="both"/>
        <w:rPr>
          <w:rFonts w:ascii="Times New Roman" w:hAnsi="Times New Roman"/>
          <w:sz w:val="28"/>
          <w:szCs w:val="28"/>
        </w:rPr>
      </w:pPr>
    </w:p>
    <w:p w:rsidR="009F2759" w:rsidRPr="009F2759" w:rsidRDefault="00E33F25" w:rsidP="009F2759">
      <w:pPr>
        <w:spacing w:after="0" w:line="240" w:lineRule="auto"/>
        <w:jc w:val="both"/>
        <w:rPr>
          <w:rFonts w:ascii="Times New Roman" w:hAnsi="Times New Roman"/>
          <w:sz w:val="28"/>
          <w:szCs w:val="28"/>
        </w:rPr>
      </w:pPr>
      <w:r w:rsidRPr="00E33F25">
        <w:rPr>
          <w:rFonts w:ascii="Times New Roman" w:hAnsi="Times New Roman"/>
          <w:sz w:val="28"/>
          <w:szCs w:val="28"/>
        </w:rPr>
        <w:t xml:space="preserve">1.2. </w:t>
      </w:r>
      <w:r w:rsidR="009F2759" w:rsidRPr="009F2759">
        <w:rPr>
          <w:rFonts w:ascii="Times New Roman" w:hAnsi="Times New Roman"/>
          <w:sz w:val="28"/>
          <w:szCs w:val="28"/>
        </w:rPr>
        <w:t xml:space="preserve">Anotācijas VII.sadaļas 1.punktā ir noteikts, ka projekta izpildē ir iesaistītas Aizsardzības ministrija, Ekonomikas ministrija un Ārlietu ministrija. Savukārt anotācijas VII.sadaļas 2.punktā ir minēts, ka ievērojami pieaugtu valsts drošības iestāžu darbs, tādējādi nepieciešams papildināt anotācijas VII.sadaļas 1.punktu ar </w:t>
      </w:r>
      <w:r w:rsidR="009F2759" w:rsidRPr="009F2759">
        <w:rPr>
          <w:rFonts w:ascii="Times New Roman" w:hAnsi="Times New Roman"/>
          <w:sz w:val="28"/>
          <w:szCs w:val="28"/>
        </w:rPr>
        <w:lastRenderedPageBreak/>
        <w:t xml:space="preserve">valsts drošības iestādēm, kas tiks iesaistītas projekta izpildē. </w:t>
      </w:r>
    </w:p>
    <w:p w:rsidR="009F2759" w:rsidRPr="009F2759" w:rsidRDefault="009F2759" w:rsidP="009F2759">
      <w:pPr>
        <w:spacing w:after="0" w:line="240" w:lineRule="auto"/>
        <w:jc w:val="both"/>
        <w:rPr>
          <w:rFonts w:ascii="Times New Roman" w:hAnsi="Times New Roman"/>
          <w:sz w:val="28"/>
          <w:szCs w:val="28"/>
        </w:rPr>
      </w:pPr>
      <w:r w:rsidRPr="009F2759">
        <w:rPr>
          <w:rFonts w:ascii="Times New Roman" w:hAnsi="Times New Roman"/>
          <w:sz w:val="28"/>
          <w:szCs w:val="28"/>
        </w:rPr>
        <w:t>Vienlaikus nepieciešams apzināt Likumprojekta ietekmi uz valsts drošības iestāžu budžetu. Ietekmi uz valsts drošības iestādēm piekritīgo darba apjomu nacionālajai drošībai nozīmīgu komercsabiedrību darījumu izvērtēšanā rada vairāki Likumprojektā ietvertie grozījumi: (1) nacionālajai drošībai nozīmīgo komercsabiedrību saraksts tiek papildināts ar komercsabiedrībām, biedrībām un nodibinājumiem, kuri ir kritiskās infrastruktūras īpašnieki vai valdītāji; (2) 37. pants tiek papildināts ar vairākiem nosacījumiem, kas papildus identificēs nacionālajai drošībai nozīmīgas komercsabiedrības; (3) papildināts darījumu loks, kuriem nepieciešama Ministru kabineta atļauja (aizdevumi).</w:t>
      </w:r>
    </w:p>
    <w:p w:rsidR="009F2759" w:rsidRPr="009F2759" w:rsidRDefault="009F2759" w:rsidP="009F2759">
      <w:pPr>
        <w:spacing w:after="0" w:line="240" w:lineRule="auto"/>
        <w:jc w:val="both"/>
        <w:rPr>
          <w:rFonts w:ascii="Times New Roman" w:hAnsi="Times New Roman"/>
          <w:sz w:val="28"/>
          <w:szCs w:val="28"/>
        </w:rPr>
      </w:pPr>
      <w:r w:rsidRPr="009F2759">
        <w:rPr>
          <w:rFonts w:ascii="Times New Roman" w:hAnsi="Times New Roman"/>
          <w:sz w:val="28"/>
          <w:szCs w:val="28"/>
        </w:rPr>
        <w:t xml:space="preserve">Lai arī anotācija nesatur norādi, kā papildu kritēriji nacionālajai drošībai nozīmīgu komercsabiedrību identificēšanai ietekmēs pašreizējo nacionālajai drošībai nozīmīgu komercsabiedrību skaitu (pašreiz atbilstoši Uzņēmumu reģistra sarakstam pašreiz par tādām ir identificētas 25 komercsabiedrības), ņemot vērā grozījumu tvērumu, subjektu loks, uz kuriem papildus tiks attiecinātas  Nacionālās drošības likuma VI nodaļā ietvertās prasības, vairākkārt pārsniegs uz šo brīdi identificēto komercsabiedrību skaitu. </w:t>
      </w:r>
    </w:p>
    <w:p w:rsidR="009F2759" w:rsidRPr="009F2759" w:rsidRDefault="009F2759" w:rsidP="009F2759">
      <w:pPr>
        <w:spacing w:after="0" w:line="240" w:lineRule="auto"/>
        <w:jc w:val="both"/>
        <w:rPr>
          <w:rFonts w:ascii="Times New Roman" w:hAnsi="Times New Roman"/>
          <w:sz w:val="28"/>
          <w:szCs w:val="28"/>
        </w:rPr>
      </w:pPr>
      <w:r w:rsidRPr="009F2759">
        <w:rPr>
          <w:rFonts w:ascii="Times New Roman" w:hAnsi="Times New Roman"/>
          <w:sz w:val="28"/>
          <w:szCs w:val="28"/>
        </w:rPr>
        <w:t>Vienlaikus, ņemot vērā, ka ar grozījumiem paredzēts arī vērtēt plašāku nacionālajai drošībai nozīmīgu komercsabiedrību darījumu loku (Likumprojekts paredz pienākumu lūgt atļauju aizdevuma saņemšanai), kā arī anotācijas 10. lapā norādīto Latvijas Bankas apkopoto informāciju, ka pusei no pašreizējām nacionālajai drošībai nozīmīgām komercsabiedrībai ir konstatēti aizdevumi (ne tikai no trešajām valstīm), kuru kopējā summa pārsniedz 10% no aktīviem, vērtējamo darījumu skaits būtiski pieaugs.</w:t>
      </w:r>
    </w:p>
    <w:p w:rsidR="00E33F25" w:rsidRPr="003308B8" w:rsidRDefault="003308B8" w:rsidP="00E33F25">
      <w:pPr>
        <w:spacing w:after="0" w:line="240" w:lineRule="auto"/>
        <w:jc w:val="both"/>
        <w:rPr>
          <w:rFonts w:ascii="Times New Roman" w:hAnsi="Times New Roman"/>
          <w:bCs/>
          <w:sz w:val="28"/>
          <w:szCs w:val="28"/>
        </w:rPr>
      </w:pPr>
      <w:r w:rsidRPr="003308B8">
        <w:rPr>
          <w:rFonts w:ascii="Times New Roman" w:hAnsi="Times New Roman"/>
          <w:sz w:val="28"/>
          <w:szCs w:val="28"/>
        </w:rPr>
        <w:t xml:space="preserve">Līdz ar to, lai nodrošinātu no Likumprojekta izrietošo pārbaužu un izvērtējumu apjoma pieauguma apstrādi atbilstošā kvalitātē, nepieciešams paredzēt valsts drošības iestādēm papildu finansējumu, papildu amata vietu izveidei. Ņemot vērā minēto, lūdzam Aizsardzības ministriju anotācijas I sadaļas “Tiesību akta projekta izstrādes nepieciešamība” 2. punktu daļā par ietekmi uz valsts drošības iestāžu darba apjoma pieaugumu, papildināt ar izvērstāku argumentāciju un arī norādīt, ka valsts drošības iestādes papildu nepieciešamo finansējumu </w:t>
      </w:r>
      <w:r w:rsidRPr="003308B8">
        <w:rPr>
          <w:rFonts w:ascii="Times New Roman" w:hAnsi="Times New Roman"/>
          <w:bCs/>
          <w:sz w:val="28"/>
          <w:szCs w:val="28"/>
        </w:rPr>
        <w:t>pieprasīs attiecīgā likumprojekta par valsts budžetu kārtējam gadam un likumprojekta par vidēja termiņa budžeta ietvaru sagatavošanas un izskatīšanas procesā kopā ar visu ministriju un centrālo valsts iestāžu iesniegtajiem prioritāro pasākumu pieteikumiem atbilstoši valsts budžeta finansiālajām iespējām.</w:t>
      </w:r>
    </w:p>
    <w:p w:rsidR="003308B8" w:rsidRPr="00E33F25" w:rsidRDefault="003308B8" w:rsidP="00E33F25">
      <w:pPr>
        <w:spacing w:after="0" w:line="240" w:lineRule="auto"/>
        <w:jc w:val="both"/>
        <w:rPr>
          <w:rFonts w:ascii="Times New Roman" w:hAnsi="Times New Roman"/>
          <w:sz w:val="28"/>
          <w:szCs w:val="28"/>
        </w:rPr>
      </w:pPr>
    </w:p>
    <w:p w:rsidR="00E33F25" w:rsidRPr="00E33F25" w:rsidRDefault="00E33F25" w:rsidP="00E33F25">
      <w:pPr>
        <w:spacing w:after="0" w:line="240" w:lineRule="auto"/>
        <w:jc w:val="both"/>
        <w:rPr>
          <w:rFonts w:ascii="Times New Roman" w:hAnsi="Times New Roman"/>
          <w:sz w:val="28"/>
          <w:szCs w:val="28"/>
        </w:rPr>
      </w:pPr>
      <w:r w:rsidRPr="00E33F25">
        <w:rPr>
          <w:rFonts w:ascii="Times New Roman" w:hAnsi="Times New Roman"/>
          <w:sz w:val="28"/>
          <w:szCs w:val="28"/>
        </w:rPr>
        <w:t>1.3. Anotācijas 7.lapā saistībā ar valsts informācijas sistēmām ir minēts, ka “Pilsonības un migrācijas lietu pārvaldes ekspertu sanāksmēs par likumprojekta izstrādi sniegtā informācija liecina, ka šāda veida regulējuma pieņemšana Pilsonības un migrācijas lietu pārvaldei turpmāk neradītu apgrūtinājumu turpmākajā sadarbībā ar komersantiem - tieši ar minēto regulējumu kā pamatojumu būtu vieglāk atteikt sadarbību komersantam, kas neatbilstu kādām prasībām”.</w:t>
      </w:r>
    </w:p>
    <w:p w:rsidR="00E33F25" w:rsidRPr="00E33F25" w:rsidRDefault="00E33F25" w:rsidP="00E33F25">
      <w:pPr>
        <w:spacing w:after="0" w:line="240" w:lineRule="auto"/>
        <w:jc w:val="both"/>
        <w:rPr>
          <w:rFonts w:ascii="Times New Roman" w:hAnsi="Times New Roman"/>
          <w:sz w:val="28"/>
          <w:szCs w:val="28"/>
        </w:rPr>
      </w:pPr>
      <w:r w:rsidRPr="00E33F25">
        <w:rPr>
          <w:rFonts w:ascii="Times New Roman" w:hAnsi="Times New Roman"/>
          <w:sz w:val="28"/>
          <w:szCs w:val="28"/>
        </w:rPr>
        <w:t xml:space="preserve">Lūdzam izvērtēt minētā apgalvojuma par “vieglāku” iespēju atteikt sadarbību komersantam iekļaušanu anotācijā, jo jebkuram atteikumam ir jābūt pamatotam </w:t>
      </w:r>
      <w:r w:rsidRPr="00E33F25">
        <w:rPr>
          <w:rFonts w:ascii="Times New Roman" w:hAnsi="Times New Roman"/>
          <w:sz w:val="28"/>
          <w:szCs w:val="28"/>
        </w:rPr>
        <w:lastRenderedPageBreak/>
        <w:t xml:space="preserve">un izsvērtam. Līdz ar to Iekšlietu ministrijas ieskatā minētais apgalvojums nebūtu korekts un svītrojams. </w:t>
      </w:r>
    </w:p>
    <w:p w:rsidR="00E33F25" w:rsidRPr="00E33F25" w:rsidRDefault="00E33F25" w:rsidP="00E33F25">
      <w:pPr>
        <w:spacing w:after="0" w:line="240" w:lineRule="auto"/>
        <w:jc w:val="both"/>
        <w:rPr>
          <w:rFonts w:ascii="Times New Roman" w:hAnsi="Times New Roman"/>
          <w:sz w:val="28"/>
          <w:szCs w:val="28"/>
        </w:rPr>
      </w:pPr>
    </w:p>
    <w:p w:rsidR="00E33F25" w:rsidRPr="00E33F25" w:rsidRDefault="00E33F25" w:rsidP="00E33F25">
      <w:pPr>
        <w:spacing w:after="0" w:line="240" w:lineRule="auto"/>
        <w:jc w:val="both"/>
        <w:rPr>
          <w:rFonts w:ascii="Times New Roman" w:hAnsi="Times New Roman"/>
          <w:sz w:val="28"/>
          <w:szCs w:val="28"/>
        </w:rPr>
      </w:pPr>
      <w:r w:rsidRPr="00E33F25">
        <w:rPr>
          <w:rFonts w:ascii="Times New Roman" w:hAnsi="Times New Roman"/>
          <w:sz w:val="28"/>
          <w:szCs w:val="28"/>
        </w:rPr>
        <w:t>2.Vienlaikus Iekšlietu ministrija izsaka šādus priekšlikumus:</w:t>
      </w:r>
    </w:p>
    <w:p w:rsidR="00E33F25" w:rsidRPr="00E33F25" w:rsidRDefault="00E33F25" w:rsidP="00E33F25">
      <w:pPr>
        <w:spacing w:after="0" w:line="240" w:lineRule="auto"/>
        <w:jc w:val="both"/>
        <w:rPr>
          <w:rFonts w:ascii="Times New Roman" w:hAnsi="Times New Roman"/>
          <w:sz w:val="28"/>
          <w:szCs w:val="28"/>
        </w:rPr>
      </w:pPr>
    </w:p>
    <w:p w:rsidR="00E33F25" w:rsidRPr="00E33F25" w:rsidRDefault="00E33F25" w:rsidP="00E33F25">
      <w:pPr>
        <w:spacing w:after="0" w:line="240" w:lineRule="auto"/>
        <w:jc w:val="both"/>
        <w:rPr>
          <w:rFonts w:ascii="Times New Roman" w:hAnsi="Times New Roman"/>
          <w:sz w:val="28"/>
          <w:szCs w:val="28"/>
        </w:rPr>
      </w:pPr>
      <w:r w:rsidRPr="00E33F25">
        <w:rPr>
          <w:rFonts w:ascii="Times New Roman" w:hAnsi="Times New Roman"/>
          <w:sz w:val="28"/>
          <w:szCs w:val="28"/>
        </w:rPr>
        <w:t>2.1.</w:t>
      </w:r>
      <w:r w:rsidRPr="00E33F25">
        <w:rPr>
          <w:rFonts w:ascii="Times New Roman" w:hAnsi="Times New Roman"/>
          <w:sz w:val="28"/>
          <w:szCs w:val="28"/>
        </w:rPr>
        <w:tab/>
        <w:t>Ar Likumprojekta 2. punktu jaunā redakcijā tiek izteikta 37. panta ievaddaļa, paredzot, ka par nacionālajai drošībai nozīmīgu komercsabiedrību, biedrību un nodibinājumu atzīstami tiesību subjekti, kuru īpašumā vai valdījumā atrodas kritiskā infrastruktūra.</w:t>
      </w:r>
    </w:p>
    <w:p w:rsidR="00E33F25" w:rsidRPr="00E33F25" w:rsidRDefault="00E33F25" w:rsidP="00E33F25">
      <w:pPr>
        <w:spacing w:after="0" w:line="240" w:lineRule="auto"/>
        <w:jc w:val="both"/>
        <w:rPr>
          <w:rFonts w:ascii="Times New Roman" w:hAnsi="Times New Roman"/>
          <w:sz w:val="28"/>
          <w:szCs w:val="28"/>
        </w:rPr>
      </w:pPr>
      <w:r w:rsidRPr="00E33F25">
        <w:rPr>
          <w:rFonts w:ascii="Times New Roman" w:hAnsi="Times New Roman"/>
          <w:sz w:val="28"/>
          <w:szCs w:val="28"/>
        </w:rPr>
        <w:t>Savukārt Nacionālās drošības likums jau pašreiz paredz attiecībā uz kritisko infrastruktūru nepieciešamību saņemt Ministru kabineta atļauju daļai darījumu, kurus regulē Nacionālās drošības likuma VI nodaļa. Proti, Nacionālās drošības likuma 22.2 panta septītā daļa paredz, ka A un B kategorijas kritiskās infrastruktūras nodošanai valdījumā vai īpašumā citai personai ir nepieciešama Ministru kabineta atļauja. Vienlaikus Nacionālās drošības likuma 10. panta pirmās daļas 9. punkts paredz Ministru kabineta kompetenci lemt par atļaujas izsniegšanu kritiskās infrastruktūras nodošanai valdījumā vai īpašumā.</w:t>
      </w:r>
    </w:p>
    <w:p w:rsidR="00E33F25" w:rsidRPr="00E33F25" w:rsidRDefault="00E33F25" w:rsidP="00E33F25">
      <w:pPr>
        <w:spacing w:after="0" w:line="240" w:lineRule="auto"/>
        <w:jc w:val="both"/>
        <w:rPr>
          <w:rFonts w:ascii="Times New Roman" w:hAnsi="Times New Roman"/>
          <w:sz w:val="28"/>
          <w:szCs w:val="28"/>
        </w:rPr>
      </w:pPr>
      <w:r w:rsidRPr="00E33F25">
        <w:rPr>
          <w:rFonts w:ascii="Times New Roman" w:hAnsi="Times New Roman"/>
          <w:sz w:val="28"/>
          <w:szCs w:val="28"/>
        </w:rPr>
        <w:t xml:space="preserve">Tādējādi, ar grozījumiem attiecinot  VI nodaļu arī uz kritisko infrastruktūru, Nacionālās drošības likuma 22.2 panta septītā daļa daļēji pārklāsies ar (dublēs) Nacionālās drošības likuma 38. pantu – attiecībā uz kritiskās infrastruktūras īpašnieku maiņu (būtiskas un izšķirošas ietekmes iegūšana, uzņēmuma pāreja).  </w:t>
      </w:r>
    </w:p>
    <w:p w:rsidR="00E33F25" w:rsidRPr="00E33F25" w:rsidRDefault="00E33F25" w:rsidP="00E33F25">
      <w:pPr>
        <w:spacing w:after="0" w:line="240" w:lineRule="auto"/>
        <w:jc w:val="both"/>
        <w:rPr>
          <w:rFonts w:ascii="Times New Roman" w:hAnsi="Times New Roman"/>
          <w:sz w:val="28"/>
          <w:szCs w:val="28"/>
        </w:rPr>
      </w:pPr>
      <w:r w:rsidRPr="00E33F25">
        <w:rPr>
          <w:rFonts w:ascii="Times New Roman" w:hAnsi="Times New Roman"/>
          <w:sz w:val="28"/>
          <w:szCs w:val="28"/>
        </w:rPr>
        <w:t>Ņemot vērā minēto, aicinām izvērtēt minēto normu savstarpējo savietojamību, novēršot iespējamo pārklāšanos.</w:t>
      </w:r>
    </w:p>
    <w:p w:rsidR="00E33F25" w:rsidRPr="00E33F25" w:rsidRDefault="00E33F25" w:rsidP="00E33F25">
      <w:pPr>
        <w:spacing w:after="0" w:line="240" w:lineRule="auto"/>
        <w:jc w:val="both"/>
        <w:rPr>
          <w:rFonts w:ascii="Times New Roman" w:hAnsi="Times New Roman"/>
          <w:sz w:val="28"/>
          <w:szCs w:val="28"/>
        </w:rPr>
      </w:pPr>
    </w:p>
    <w:p w:rsidR="00E33F25" w:rsidRPr="00E33F25" w:rsidRDefault="00E33F25" w:rsidP="00E33F25">
      <w:pPr>
        <w:spacing w:after="0" w:line="240" w:lineRule="auto"/>
        <w:jc w:val="both"/>
        <w:rPr>
          <w:rFonts w:ascii="Times New Roman" w:hAnsi="Times New Roman"/>
          <w:sz w:val="28"/>
          <w:szCs w:val="28"/>
        </w:rPr>
      </w:pPr>
      <w:r w:rsidRPr="00E33F25">
        <w:rPr>
          <w:rFonts w:ascii="Times New Roman" w:hAnsi="Times New Roman"/>
          <w:sz w:val="28"/>
          <w:szCs w:val="28"/>
        </w:rPr>
        <w:t>2.2. Likumprojekta 3.punktā piedāvātais Nacionālās drošības likuma 37.panta 10.punkts paredz, ka likumā noteiktie ierobežojumi attiecas uz Latvijas Republikā reģistrētu komercsabiedrību, kas ražo vai izstrādā tādas tehnoloģijas kā mākslīgais intelekts, robotika, viedā un autonomā mobilitāte, kiberdrošība, enerģijas uzglabāšana, kvantu tehnoloģijas, kodoltehnoloģijas, nanotehnoloģijas, biotehnoloģijas un kuru Ministru kabinets ir noteicis par nacionālajai drošībai nozīmīgu komercsabiedrību, pamatojoties uz valsts drošības iestādes atzinumu.</w:t>
      </w:r>
    </w:p>
    <w:p w:rsidR="00E33F25" w:rsidRPr="00E33F25" w:rsidRDefault="00E33F25" w:rsidP="00E33F25">
      <w:pPr>
        <w:spacing w:after="0" w:line="240" w:lineRule="auto"/>
        <w:jc w:val="both"/>
        <w:rPr>
          <w:rFonts w:ascii="Times New Roman" w:hAnsi="Times New Roman"/>
          <w:sz w:val="28"/>
          <w:szCs w:val="28"/>
        </w:rPr>
      </w:pPr>
      <w:r w:rsidRPr="00E33F25">
        <w:rPr>
          <w:rFonts w:ascii="Times New Roman" w:hAnsi="Times New Roman"/>
          <w:sz w:val="28"/>
          <w:szCs w:val="28"/>
        </w:rPr>
        <w:t>Vēršam uzmanību, ka minētajā punktā iekļautas komercsabiedrības darbības jomas, kas var aptvert ļoti plašu darbības spektru. Savukārt anotācijā ir minēts, ka “tehnoloģiju attīstība ir strauja un to pielietojums dažādās jomās ir daudzpusējs. Ja likumā iestrādātu šobrīd aktuālos tehnoloģiju parametrus, varētu rasties situācijas, ka likumā ir nepieciešami regulāri grozījumi, tehnoloģijām attīstoties. Taču piedāvātā 11. apakšpunkta redakcija nodrošina, ka regulējums saglabā savu aktualitāti un ir pielietojams ilgākā laika posmā, neatkarīgi no tehnoloģiju attīstības aktualitātēm, kā arī tas neierobežo inovāciju attīstību.”.</w:t>
      </w:r>
    </w:p>
    <w:p w:rsidR="00E33F25" w:rsidRDefault="00E33F25" w:rsidP="00E33F25">
      <w:pPr>
        <w:spacing w:after="0" w:line="240" w:lineRule="auto"/>
        <w:jc w:val="both"/>
        <w:rPr>
          <w:rFonts w:ascii="Times New Roman" w:hAnsi="Times New Roman"/>
          <w:sz w:val="28"/>
          <w:szCs w:val="28"/>
        </w:rPr>
      </w:pPr>
      <w:r w:rsidRPr="00E33F25">
        <w:rPr>
          <w:rFonts w:ascii="Times New Roman" w:hAnsi="Times New Roman"/>
          <w:sz w:val="28"/>
          <w:szCs w:val="28"/>
        </w:rPr>
        <w:t xml:space="preserve">Ņemot vērā to, ka atbilstoši Aizsardzības ministrijas piedāvātajai redakcijai valsts drošības iestādēm, tai skaitā Valsts drošības dienestam, būs jāsniedz atzinums par minētajām komercsabiedrībām, būtu svarīgi noteikt kritērijus, kas ļautu valsts drošības iestādēm identificēt attiecīgu komersantu minētajās darbības sfērās. </w:t>
      </w:r>
    </w:p>
    <w:p w:rsidR="00FB00F8" w:rsidRPr="00E33F25" w:rsidRDefault="00FB00F8" w:rsidP="00E33F25">
      <w:pPr>
        <w:spacing w:after="0" w:line="240" w:lineRule="auto"/>
        <w:jc w:val="both"/>
        <w:rPr>
          <w:rFonts w:ascii="Times New Roman" w:hAnsi="Times New Roman"/>
          <w:sz w:val="28"/>
          <w:szCs w:val="28"/>
        </w:rPr>
      </w:pPr>
    </w:p>
    <w:p w:rsidR="00E33F25" w:rsidRPr="00E33F25" w:rsidRDefault="00E33F25" w:rsidP="00E33F25">
      <w:pPr>
        <w:spacing w:after="0" w:line="240" w:lineRule="auto"/>
        <w:jc w:val="both"/>
        <w:rPr>
          <w:rFonts w:ascii="Times New Roman" w:hAnsi="Times New Roman"/>
          <w:sz w:val="28"/>
          <w:szCs w:val="28"/>
        </w:rPr>
      </w:pPr>
      <w:r w:rsidRPr="00E33F25">
        <w:rPr>
          <w:rFonts w:ascii="Times New Roman" w:hAnsi="Times New Roman"/>
          <w:sz w:val="28"/>
          <w:szCs w:val="28"/>
        </w:rPr>
        <w:t>2.3. Likumprojekta 4.punktā piedāvātā Nacionālās drošības likuma 38.panta trešās daļas redakcija paredz “nozīmīga ārvalstu tiešā aizdevuma” definīciju, taču turpmāk likumprojekta tekstā tiek lietoti dažādi termini, piemēram, “aizdevums”, “aizņēmums” un “ārvalstu tiešs aizdevums”. Vēršam uzmanību, ka terminoloģijas lietošanai likumprojektā jābūt konsekventai, līdz ar to lūdzam precizēt likumprojektu, lai nodrošinātu regulējuma skaidrību un nepārprotamu uztveramību;</w:t>
      </w:r>
    </w:p>
    <w:p w:rsidR="00E33F25" w:rsidRPr="00E33F25" w:rsidRDefault="00E33F25" w:rsidP="00E33F25">
      <w:pPr>
        <w:spacing w:after="0" w:line="240" w:lineRule="auto"/>
        <w:jc w:val="both"/>
        <w:rPr>
          <w:rFonts w:ascii="Times New Roman" w:hAnsi="Times New Roman"/>
          <w:sz w:val="28"/>
          <w:szCs w:val="28"/>
        </w:rPr>
      </w:pPr>
    </w:p>
    <w:p w:rsidR="00735284" w:rsidRDefault="00E33F25" w:rsidP="00E33F25">
      <w:pPr>
        <w:spacing w:after="0" w:line="240" w:lineRule="auto"/>
        <w:jc w:val="both"/>
        <w:rPr>
          <w:rFonts w:ascii="Times New Roman" w:hAnsi="Times New Roman"/>
          <w:sz w:val="28"/>
          <w:szCs w:val="28"/>
        </w:rPr>
      </w:pPr>
      <w:r w:rsidRPr="00E33F25">
        <w:rPr>
          <w:rFonts w:ascii="Times New Roman" w:hAnsi="Times New Roman"/>
          <w:sz w:val="28"/>
          <w:szCs w:val="28"/>
        </w:rPr>
        <w:t>2.4. anotācijas V.sadaļas 1.punktā ir noteikts, ka grozījumu pamatā ir Eiropas Parlamenta un Eiropas Padomes 2019. gada 19. marta regula (ES) 2019/452, ar ko izveido regulējumu ārvalstu tiešo ieguldījumu Savienībā izvērtēšanai. Aicinām precizēt anotācijas V.sadaļu, papildinot to ar informāciju atbilstoši Ministru kabineta 2009. gada 15. decembra instrukcijas Nr. 19 "Tiesību akta projekta sākotnējās ietekmes izvērtēšanas kārtība" VI.nodaļā ietvertajām prasībām.</w:t>
      </w: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tbl>
      <w:tblPr>
        <w:tblW w:w="0" w:type="auto"/>
        <w:tblLook w:val="04A0" w:firstRow="1" w:lastRow="0" w:firstColumn="1" w:lastColumn="0" w:noHBand="0" w:noVBand="1"/>
      </w:tblPr>
      <w:tblGrid>
        <w:gridCol w:w="4650"/>
        <w:gridCol w:w="4651"/>
      </w:tblGrid>
      <w:tr w:rsidR="006143B8" w:rsidTr="00735284">
        <w:tc>
          <w:tcPr>
            <w:tcW w:w="4650" w:type="dxa"/>
            <w:hideMark/>
          </w:tcPr>
          <w:p w:rsidR="00735284" w:rsidRDefault="00E33F25">
            <w:pPr>
              <w:spacing w:after="0" w:line="240" w:lineRule="auto"/>
              <w:rPr>
                <w:rFonts w:ascii="Times New Roman" w:hAnsi="Times New Roman"/>
                <w:sz w:val="28"/>
                <w:szCs w:val="28"/>
              </w:rPr>
            </w:pPr>
            <w:r>
              <w:rPr>
                <w:rFonts w:ascii="Times New Roman" w:hAnsi="Times New Roman"/>
                <w:noProof/>
                <w:sz w:val="28"/>
                <w:szCs w:val="28"/>
              </w:rPr>
              <w:t>V</w:t>
            </w:r>
            <w:r w:rsidR="00735284">
              <w:rPr>
                <w:rFonts w:ascii="Times New Roman" w:hAnsi="Times New Roman"/>
                <w:noProof/>
                <w:sz w:val="28"/>
                <w:szCs w:val="28"/>
              </w:rPr>
              <w:t>alsts sekretārs</w:t>
            </w:r>
          </w:p>
        </w:tc>
        <w:tc>
          <w:tcPr>
            <w:tcW w:w="4651" w:type="dxa"/>
            <w:hideMark/>
          </w:tcPr>
          <w:p w:rsidR="00735284" w:rsidRDefault="00735284">
            <w:pPr>
              <w:spacing w:after="0" w:line="240" w:lineRule="auto"/>
              <w:jc w:val="right"/>
              <w:rPr>
                <w:rFonts w:ascii="Times New Roman" w:hAnsi="Times New Roman"/>
                <w:sz w:val="28"/>
                <w:szCs w:val="28"/>
              </w:rPr>
            </w:pPr>
            <w:r>
              <w:rPr>
                <w:rFonts w:ascii="Times New Roman" w:hAnsi="Times New Roman"/>
                <w:noProof/>
                <w:sz w:val="28"/>
                <w:szCs w:val="28"/>
              </w:rPr>
              <w:t>Dimitrijs Trofimovs</w:t>
            </w:r>
          </w:p>
        </w:tc>
      </w:tr>
    </w:tbl>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EF39F9" w:rsidRDefault="00EF39F9" w:rsidP="00EF39F9">
      <w:pPr>
        <w:spacing w:after="0" w:line="240" w:lineRule="auto"/>
        <w:rPr>
          <w:rFonts w:ascii="Times New Roman" w:hAnsi="Times New Roman"/>
          <w:sz w:val="28"/>
          <w:szCs w:val="28"/>
        </w:rPr>
      </w:pPr>
    </w:p>
    <w:p w:rsidR="00EF39F9" w:rsidRDefault="00EF39F9" w:rsidP="00EF39F9">
      <w:pPr>
        <w:spacing w:after="0" w:line="240" w:lineRule="auto"/>
        <w:rPr>
          <w:rFonts w:ascii="Times New Roman" w:hAnsi="Times New Roman"/>
          <w:sz w:val="28"/>
          <w:szCs w:val="28"/>
        </w:rPr>
      </w:pPr>
      <w:r>
        <w:rPr>
          <w:rFonts w:ascii="Times New Roman" w:hAnsi="Times New Roman"/>
          <w:noProof/>
          <w:sz w:val="28"/>
          <w:szCs w:val="28"/>
        </w:rPr>
        <w:t>Irina Porošina</w:t>
      </w:r>
      <w:r>
        <w:rPr>
          <w:rFonts w:ascii="Times New Roman" w:hAnsi="Times New Roman"/>
          <w:sz w:val="28"/>
          <w:szCs w:val="28"/>
        </w:rPr>
        <w:t xml:space="preserve">, </w:t>
      </w:r>
      <w:r>
        <w:rPr>
          <w:rFonts w:ascii="Times New Roman" w:hAnsi="Times New Roman"/>
          <w:noProof/>
          <w:sz w:val="28"/>
          <w:szCs w:val="28"/>
        </w:rPr>
        <w:t>67219436</w:t>
      </w:r>
    </w:p>
    <w:p w:rsidR="00EF39F9" w:rsidRDefault="00EF39F9" w:rsidP="00EF39F9">
      <w:pPr>
        <w:spacing w:after="0" w:line="240" w:lineRule="auto"/>
        <w:rPr>
          <w:rFonts w:ascii="Times New Roman" w:hAnsi="Times New Roman"/>
          <w:sz w:val="28"/>
          <w:szCs w:val="28"/>
        </w:rPr>
      </w:pPr>
      <w:r>
        <w:rPr>
          <w:rFonts w:ascii="Times New Roman" w:hAnsi="Times New Roman"/>
          <w:noProof/>
          <w:sz w:val="28"/>
          <w:szCs w:val="28"/>
        </w:rPr>
        <w:t>irina.porosina@iem.gov.lv</w:t>
      </w:r>
    </w:p>
    <w:p w:rsidR="00EF39F9" w:rsidRDefault="00EF39F9" w:rsidP="00EF39F9">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jc w:val="center"/>
        <w:rPr>
          <w:rFonts w:ascii="Times New Roman" w:hAnsi="Times New Roman"/>
          <w:sz w:val="24"/>
          <w:szCs w:val="24"/>
        </w:rPr>
      </w:pPr>
      <w:r>
        <w:rPr>
          <w:rFonts w:ascii="Times New Roman" w:hAnsi="Times New Roman"/>
          <w:sz w:val="28"/>
          <w:szCs w:val="28"/>
        </w:rPr>
        <w:t>DOKUMENTS PARAKSTĪTS AR DROŠU ELEKTRONISKO PARAKSTU UN SATUR LAIKA ZĪMOGU</w:t>
      </w:r>
    </w:p>
    <w:p w:rsidR="00651581" w:rsidRPr="00651581" w:rsidRDefault="00651581" w:rsidP="002D736B">
      <w:pPr>
        <w:widowControl/>
        <w:spacing w:after="0" w:line="240" w:lineRule="auto"/>
        <w:rPr>
          <w:rFonts w:ascii="Times New Roman" w:hAnsi="Times New Roman"/>
          <w:sz w:val="18"/>
          <w:szCs w:val="18"/>
        </w:rPr>
      </w:pPr>
    </w:p>
    <w:sectPr w:rsidR="00651581" w:rsidRPr="00651581" w:rsidSect="0074324D">
      <w:headerReference w:type="first" r:id="rId9"/>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3B8" w:rsidRDefault="006143B8">
      <w:pPr>
        <w:spacing w:after="0" w:line="240" w:lineRule="auto"/>
      </w:pPr>
      <w:r>
        <w:separator/>
      </w:r>
    </w:p>
  </w:endnote>
  <w:endnote w:type="continuationSeparator" w:id="0">
    <w:p w:rsidR="006143B8" w:rsidRDefault="00614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3B8" w:rsidRDefault="006143B8">
      <w:pPr>
        <w:spacing w:after="0" w:line="240" w:lineRule="auto"/>
      </w:pPr>
      <w:r>
        <w:separator/>
      </w:r>
    </w:p>
  </w:footnote>
  <w:footnote w:type="continuationSeparator" w:id="0">
    <w:p w:rsidR="006143B8" w:rsidRDefault="00614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774" w:rsidRPr="00BD6774" w:rsidRDefault="00BD6774" w:rsidP="00BD6774">
    <w:pPr>
      <w:pStyle w:val="Header"/>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16577"/>
    <w:rsid w:val="000169CE"/>
    <w:rsid w:val="00030349"/>
    <w:rsid w:val="000466E7"/>
    <w:rsid w:val="00053C57"/>
    <w:rsid w:val="00092CB0"/>
    <w:rsid w:val="000D541A"/>
    <w:rsid w:val="00121F6E"/>
    <w:rsid w:val="00124173"/>
    <w:rsid w:val="00127E58"/>
    <w:rsid w:val="00130DD6"/>
    <w:rsid w:val="00132130"/>
    <w:rsid w:val="00143906"/>
    <w:rsid w:val="001C365A"/>
    <w:rsid w:val="001D69F2"/>
    <w:rsid w:val="001E5591"/>
    <w:rsid w:val="001F71C1"/>
    <w:rsid w:val="00217C7E"/>
    <w:rsid w:val="00275B9E"/>
    <w:rsid w:val="0027749D"/>
    <w:rsid w:val="002A46F1"/>
    <w:rsid w:val="002B14A1"/>
    <w:rsid w:val="002B3077"/>
    <w:rsid w:val="002D736B"/>
    <w:rsid w:val="002E1474"/>
    <w:rsid w:val="00306D11"/>
    <w:rsid w:val="003308B8"/>
    <w:rsid w:val="00332C67"/>
    <w:rsid w:val="00335032"/>
    <w:rsid w:val="00373D36"/>
    <w:rsid w:val="003B199A"/>
    <w:rsid w:val="003B2519"/>
    <w:rsid w:val="004073C2"/>
    <w:rsid w:val="00444EF8"/>
    <w:rsid w:val="00472AFF"/>
    <w:rsid w:val="00493308"/>
    <w:rsid w:val="0050522E"/>
    <w:rsid w:val="0051400B"/>
    <w:rsid w:val="00520A93"/>
    <w:rsid w:val="00535564"/>
    <w:rsid w:val="005A1BCB"/>
    <w:rsid w:val="005C346B"/>
    <w:rsid w:val="005F7D1D"/>
    <w:rsid w:val="00606767"/>
    <w:rsid w:val="00612BE7"/>
    <w:rsid w:val="006143B8"/>
    <w:rsid w:val="00651581"/>
    <w:rsid w:val="006616D2"/>
    <w:rsid w:val="00663C3A"/>
    <w:rsid w:val="00670E89"/>
    <w:rsid w:val="006B01C5"/>
    <w:rsid w:val="006C1639"/>
    <w:rsid w:val="006D75CE"/>
    <w:rsid w:val="006D7CB6"/>
    <w:rsid w:val="006E7CDB"/>
    <w:rsid w:val="006F1F22"/>
    <w:rsid w:val="00735284"/>
    <w:rsid w:val="0074324D"/>
    <w:rsid w:val="007704BD"/>
    <w:rsid w:val="007A2F21"/>
    <w:rsid w:val="007A47FD"/>
    <w:rsid w:val="007B3BA5"/>
    <w:rsid w:val="007B482B"/>
    <w:rsid w:val="007B48EC"/>
    <w:rsid w:val="007E4D1F"/>
    <w:rsid w:val="00815277"/>
    <w:rsid w:val="008661EE"/>
    <w:rsid w:val="00876177"/>
    <w:rsid w:val="00876C21"/>
    <w:rsid w:val="00877D1E"/>
    <w:rsid w:val="0088699D"/>
    <w:rsid w:val="00887D85"/>
    <w:rsid w:val="008C7480"/>
    <w:rsid w:val="008D13B4"/>
    <w:rsid w:val="0095403B"/>
    <w:rsid w:val="00954D5A"/>
    <w:rsid w:val="00996108"/>
    <w:rsid w:val="009B0210"/>
    <w:rsid w:val="009F01EE"/>
    <w:rsid w:val="009F2759"/>
    <w:rsid w:val="00A27A9F"/>
    <w:rsid w:val="00A44201"/>
    <w:rsid w:val="00A9424B"/>
    <w:rsid w:val="00AD474F"/>
    <w:rsid w:val="00B04502"/>
    <w:rsid w:val="00B2170F"/>
    <w:rsid w:val="00B60998"/>
    <w:rsid w:val="00B91CD1"/>
    <w:rsid w:val="00BD3CC7"/>
    <w:rsid w:val="00BD6774"/>
    <w:rsid w:val="00BF256B"/>
    <w:rsid w:val="00C21CCC"/>
    <w:rsid w:val="00C37199"/>
    <w:rsid w:val="00C4059E"/>
    <w:rsid w:val="00C47F57"/>
    <w:rsid w:val="00C80A36"/>
    <w:rsid w:val="00C9108F"/>
    <w:rsid w:val="00C922E2"/>
    <w:rsid w:val="00C95BBC"/>
    <w:rsid w:val="00CE17EE"/>
    <w:rsid w:val="00CE607C"/>
    <w:rsid w:val="00CF3A42"/>
    <w:rsid w:val="00D11D28"/>
    <w:rsid w:val="00D21FA6"/>
    <w:rsid w:val="00D442EB"/>
    <w:rsid w:val="00D55642"/>
    <w:rsid w:val="00D55B4B"/>
    <w:rsid w:val="00DB76AE"/>
    <w:rsid w:val="00DC140C"/>
    <w:rsid w:val="00DC2F13"/>
    <w:rsid w:val="00DD194F"/>
    <w:rsid w:val="00DD656A"/>
    <w:rsid w:val="00DF6135"/>
    <w:rsid w:val="00E33F25"/>
    <w:rsid w:val="00E365CE"/>
    <w:rsid w:val="00E40CFB"/>
    <w:rsid w:val="00E436D8"/>
    <w:rsid w:val="00E84CE3"/>
    <w:rsid w:val="00E86986"/>
    <w:rsid w:val="00EC3999"/>
    <w:rsid w:val="00EE1DAE"/>
    <w:rsid w:val="00EF3368"/>
    <w:rsid w:val="00EF39F9"/>
    <w:rsid w:val="00F05AE8"/>
    <w:rsid w:val="00F14C3F"/>
    <w:rsid w:val="00F52301"/>
    <w:rsid w:val="00F60586"/>
    <w:rsid w:val="00F74423"/>
    <w:rsid w:val="00FA7179"/>
    <w:rsid w:val="00FB00F8"/>
    <w:rsid w:val="00FC4D81"/>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F66668CF-96E2-4523-AE45-B376B90FF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260377">
      <w:bodyDiv w:val="1"/>
      <w:marLeft w:val="0"/>
      <w:marRight w:val="0"/>
      <w:marTop w:val="0"/>
      <w:marBottom w:val="0"/>
      <w:divBdr>
        <w:top w:val="none" w:sz="0" w:space="0" w:color="auto"/>
        <w:left w:val="none" w:sz="0" w:space="0" w:color="auto"/>
        <w:bottom w:val="none" w:sz="0" w:space="0" w:color="auto"/>
        <w:right w:val="none" w:sz="0" w:space="0" w:color="auto"/>
      </w:divBdr>
    </w:div>
    <w:div w:id="1221092470">
      <w:bodyDiv w:val="1"/>
      <w:marLeft w:val="0"/>
      <w:marRight w:val="0"/>
      <w:marTop w:val="0"/>
      <w:marBottom w:val="0"/>
      <w:divBdr>
        <w:top w:val="none" w:sz="0" w:space="0" w:color="auto"/>
        <w:left w:val="none" w:sz="0" w:space="0" w:color="auto"/>
        <w:bottom w:val="none" w:sz="0" w:space="0" w:color="auto"/>
        <w:right w:val="none" w:sz="0" w:space="0" w:color="auto"/>
      </w:divBdr>
    </w:div>
    <w:div w:id="1466040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B0E8C-3D2D-4086-BDC0-DFC953E28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5907</Words>
  <Characters>3368</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Ieva Rublevska</cp:lastModifiedBy>
  <cp:revision>2</cp:revision>
  <cp:lastPrinted>2021-01-22T07:28:00Z</cp:lastPrinted>
  <dcterms:created xsi:type="dcterms:W3CDTF">2022-01-21T13:43:00Z</dcterms:created>
  <dcterms:modified xsi:type="dcterms:W3CDTF">2022-01-21T13:43:00Z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