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17. maija noteikumos Nr. 364 "Kārtība, kādā licencē un uzrauga komersantus, kuri sniedz darbiekārtošanas pakalpojumus kuģa apkalpes komplektēšanā"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2022. gada 6. jūnijā tika pieņemti grozījumi 2006. gada Konvencijā par darbu jūrniecībā (turpmāk - MLC konvencija) un ka projektā ietvertās izmaiņas noteikumos citastarp ievieš minētos grozījumus. Saistībā ar minēto lūdzam papildināt projekta anotāciju ar skaidrojumu par grozījumu saistošo spēku attiecībā uz Latviju, proti, vai minētie grozījumi ir apstiprināti ar nacionālo normatīvo aktu, un, ja jā, ar kādu nacionālo normatīvo aktu grozījumi ir apstiprināti un publicēti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noteikumu projekta anotācijas 1.3.  un 5.5. sadaļa. Informējam, ka MLC konvencijas 2022. gada grozījumi ir ieviesti nacionālajos normatīvajos aktos.Attiecīgi papildināta noteikumu projekta anotācijas 1.3.  un 5.5. sadaļa. Informējam, ka MLC konvencijas 2022. gada grozījumi ir ieviesti nacionālajos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2014. gada 11. jūnijā tika pieņemti un 2017. gada 18. janvārī stājās spēkā grozījumi MLC konvencijā, kā rezultātā tika izmainīta MLC konvencijas standartu numerācija. Vēršam uzmanību, ka ar grozījumiem MLC konvencijas standartos pievienotas papildu vienības. Attiecīgi lūdzam izvērtēt un sniegt skaidrojumu anotācijas 5.5. apakšsadaļā par to, kuros nacionālajos normatīvajos aktos vai to projektos un to vienībās ir ieviestas MLC konvencijas grozīto standartu vienības, kurās paredzēti pienākumi vai rīcības brīvība dalībvalstīm (piemēram, bet ne tikai, A2.5.2. standarta 3., 6. un 14. punkts, A4.2.1. 8. un 11. punkts). Proti, aicinām pārliecināties un sniegt skaidrojumu par grozītās MLC konvencijas prasību pilnīgu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papildināt anotācijas 5.2. apakšsadaļu, kā arī 5.5. apakšsadaļas 2. tabulu ar informāciju par projektā ieviestajām MLC konvencijas (ar 2014. gada un 2022. gada grozījumiem), kā arī 1978. gada Starptautiskās konvencijas par jūrnieku sagatavošanu un diplomēšanu, kā arī sardzes pildīšanu (ar grozījumiem) vienībām, tostarp arī tām, uz kurām projektā ir ietvertas atsauces. Aicinām arī konkretizēt, kura MLC konvencijas standarta (piemēram, A1.4. standarta) vienība vai vienības ir ieviestas attiecīgajā projekta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noteikumu projekta anotācijas 1.3.,  5.2. un 5.5.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MLC konvencijas 2014. gada grozījumi ir ieviesti nacionālajos normatīvajos aktos ar Jūras kodeksa grozījumiem 2017. gadā (likums “Grozījumi Jūras kodeksā”, pieņemts 2017. gada 9.  novembrī un stājās spēkā 2017. gada 6.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2011.gada 7.aprīļa likumu "Par 2006.gada 23.febrāra Konvenciju par darbu jūrniecībā" tika pieņemta un apstiprināta 2006.gada Konvencija par darbu jūrniecībā,  otrajā rindkopā precizēt konvencijas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Konvencija par darbu jūrniecībā (turpmāk – MLC konvencija)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Konvencija par darbu jūrniecībā (turpmāk – MLC konvencija)”.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10. punktu grozīta noteikumu informatīvā atsauce, aizstājot atsauces uz Eiropas Parlamenta un Padomes 2008. gada 19. novembra Direktīvu 2008/106/EK par jūrnieku minimālo sagatavotības līmeni un Eiropas Parlamenta un Padomes 2012. gada 21. novembra Direktīvu 2012/35/ES, ar ko groza Direktīvu 2008/106/EK par jūrnieku minimālo sagatavotības līmeni, ar atsauci uz Eiropas Parlamenta un Padomes 2022. gada 8. jūnija Direktīvu 2022/993/ES par jūrnieku minimālo sagatavotības līmeni (kodifikācija) (turpmāk - Direktīva 2022/993/ES). Projekta anotācijā norādīts, ka ar projektu netiek ieviestas jaunas normas, jo Direktīva 2022/993/ES apvieno un aizstāj atceltās direktīvas, saglabājot tajās ietvertās tiesību normas nemainīgas. Vienlaikus aicinām informācijas izsekojamībai papildināt anotācijas 5.4. apakšsadaļas 1. tabulu ar informāciju par citu Direktīvas 2022/993/ES vienību, tostarp 15. panta apakšvienību, pārņemšanu nacionālajā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anotācijas 5.4. sadaļas 1. tabulā ir norādīti normatīvie akti, ar kuriem pilnībā ir pārņemtas Direktīvas 2022/993 prasības. Direktīva ir kodificēta, un tajā saglabātas ietvertās tiesību normas ir nemainīgas.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pirms darbiekārtošanas vai tās laikā iepazīstināt personu ar tiesībām, ko tai nodrošina šo noteikumu </w:t>
            </w:r>
            <w:r w:rsidR="00000000" w:rsidRPr="00000000" w:rsidDel="00000000">
              <w:rPr>
                <w:rtl w:val="0"/>
              </w:rPr>
              <w:t xml:space="preserve">11.15. </w:t>
            </w:r>
            <w:r w:rsidR="00000000" w:rsidRPr="00000000" w:rsidDel="00000000">
              <w:rPr>
                <w:rtl w:val="0"/>
              </w:rPr>
              <w:t xml:space="preserve">apakšpunktā</w:t>
            </w:r>
            <w:r w:rsidR="00000000" w:rsidRPr="00000000" w:rsidDel="00000000">
              <w:rPr>
                <w:rtl w:val="0"/>
              </w:rPr>
              <w:t xml:space="preserve"> minētā aizsardzības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11.15. apakšpunktā ir minēta finansiālā nodrošinājuma sistēma, nevis aizsardzības sistēma, aicinām precizēt projekta 3. punktu (noteikumu 11.6.</w:t>
            </w:r>
            <w:r w:rsidR="00000000" w:rsidRPr="00000000" w:rsidDel="00000000">
              <w:rPr>
                <w:vertAlign w:val="superscript"/>
                <w:rtl w:val="0"/>
              </w:rPr>
              <w:t xml:space="preserve">1</w:t>
            </w:r>
            <w:r w:rsidR="00000000" w:rsidRPr="00000000" w:rsidDel="00000000">
              <w:rPr>
                <w:rtl w:val="0"/>
              </w:rPr>
              <w:t xml:space="preserve"> punktu) un 6. punktu (noteikumu 11.16.10. apakšpunktu), nodrošinot terminoloģiju konsekvenci.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un 6. punkts (noteikumu 11.6.</w:t>
            </w:r>
            <w:r w:rsidR="00000000" w:rsidRPr="00000000" w:rsidDel="00000000">
              <w:rPr>
                <w:vertAlign w:val="superscript"/>
                <w:rtl w:val="0"/>
              </w:rPr>
              <w:t xml:space="preserve">1</w:t>
            </w:r>
            <w:r w:rsidR="00000000" w:rsidRPr="00000000" w:rsidDel="00000000">
              <w:rPr>
                <w:rtl w:val="0"/>
              </w:rPr>
              <w:t xml:space="preserve"> un 11.16.10.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pirms darbiekārtošanas vai tās laikā iepazīstināt personu ar tās tiesībām, kas izriet no šo noteikumu </w:t>
            </w:r>
            <w:r w:rsidR="00000000" w:rsidRPr="00000000" w:rsidDel="00000000">
              <w:rPr>
                <w:rtl w:val="0"/>
              </w:rPr>
              <w:t xml:space="preserve">11.15. </w:t>
            </w:r>
            <w:r w:rsidR="00000000" w:rsidRPr="00000000" w:rsidDel="00000000">
              <w:rPr>
                <w:rtl w:val="0"/>
              </w:rPr>
              <w:t xml:space="preserve">apakšpunkta</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24-TA-3020</w:t>
    </w:r>
    <w:r>
      <w:br/>
    </w:r>
    <w:r w:rsidR="00000000" w:rsidRPr="00000000" w:rsidDel="00000000">
      <w:rPr>
        <w:rtl w:val="0"/>
      </w:rPr>
      <w:t xml:space="preserve">20.03.2025. 12.41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24-TA-3020</w:t>
    </w:r>
    <w:r>
      <w:br/>
    </w:r>
    <w:r w:rsidR="00000000" w:rsidRPr="00000000" w:rsidDel="00000000">
      <w:rPr>
        <w:rtl w:val="0"/>
      </w:rPr>
      <w:t xml:space="preserve">20.03.2025. 12.41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Izziņa_24-TA-3020.docx</dc:title>
</cp:coreProperties>
</file>

<file path=docProps/custom.xml><?xml version="1.0" encoding="utf-8"?>
<Properties xmlns="http://schemas.openxmlformats.org/officeDocument/2006/custom-properties" xmlns:vt="http://schemas.openxmlformats.org/officeDocument/2006/docPropsVTypes"/>
</file>