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19. decembra noteikumos Nr. 803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 sk. uzlabojot tālākizglītības pieejamību"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(22.12.2023.)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10.06.2026. 16:56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sadaļas "Mērķis" mērķa aprakstu, norādot Ministru kabineta noteikumu par 4.1.2.6. pasākuma "Uzlabot izglītības iespējas ārstniecības personām, t. sk. uzlabojot tālākizglītības pieejamību" īstenošanu grozījumu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vai izstrādātie grozījumi nav uzskatāmi par būtiskiem, tas ir tādi, kas ietekmē darbības veidu, mērķus vai īstenošanas nosacījumus, tādējādi traucējot sākotnējo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netiek sniegts skaidrojums par izmaiņām, kas tiek paredzētas ar sagatavoto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atkāpes no sociāli atbildīgu publisko iepirkumu principiem, kā arī Ministru kabineta 2023. gada 19. decembra noteikumu Nr. 803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 sk. uzlabojot tālākizglītības pieejamību" īstenošanas noteikumi" (turpmāk – MK noteikumi Nr. 803) 18. punktā tiek svītrota atsauce uz publisko iepirkumu jomu regulējošo normatīvo aktu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papildināt anotāciju ar skaidrojumu par sagatavotajiem grozījumiem </w:t>
            </w:r>
            <w:r w:rsidR="00000000" w:rsidRPr="00000000" w:rsidDel="00000000">
              <w:rPr>
                <w:u w:val="single"/>
                <w:rtl w:val="0"/>
              </w:rPr>
              <w:t xml:space="preserve">MK noteikumu Nr. 803 18. punktā un 41.1. apakšpunktā</w:t>
            </w:r>
            <w:r w:rsidR="00000000" w:rsidRPr="00000000" w:rsidDel="00000000">
              <w:rPr>
                <w:rtl w:val="0"/>
              </w:rPr>
              <w:t xml:space="preserve"> atbilstoši Ministru kabineta 2021. gada 7. septembra noteikumu Nr. 617 “Tiesību akta projekta sākotnējās ietekmes izvērtēšanas kārtība” 9.1.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18. punkts. Radusies tehniska neprecizitāte, MKN 18. punktā netiek svītrota atsauce uz publisko iepirkumu jomu regulējošo normatīvo aktu piemērošanu. Ņemot vērā, ka pasākuma ietvaros netiek īstenoti daudzpakāpju projekti (finansējuma saņēmējs nesniedz finansiālu atbalstu projekta dalībniekiem vai gala saņēmējiem), Eiropas Parlamenta un Padomes Regulas (ES, Euratom) Nr. 2024/2509 61. panta tieša piemērošana nav attiecināma. Precizēta punkta redakcija, svītrojot atsauci uz Regulu un saglabājot vispārīgu prasību par interešu konflikta neesību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"Pašreizējā situācija, problēmas un risinājumi" apakšadaļas “Problēmas apraksts” 3. punktā sniegto informāciju par konsultatīvās darba grupas sastāvu, skaidrojot kā līdzšinējā pasākuma ieviešanas praksē tika mazināts funkciju pārklāšanās un iespējamā interešu konflikta risks, un skaidrot, kāpēc sākotnēji vispār šīs organizācijas tika iekļautas konsultatīvās darba grupas sastāvā, ja tās jau iesaistītas veselības nozares mācību vajadzību identificēšanā un profesionālās pilnveides prioritāšu noteikšanā.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norādīts, ka finansējums 2029. gadam ir paredzēts mērķa griestos. Ņemot vērā, ka atbilstoši likumam “Par valsts budžetu 2026. gadam un budžeta ietvaru 2026., 2027. un 2028. gadam” 2029. gadam Veselības ministrijas budžetā plānotais finansējums 4.1.2.6. pasākuma īstenošanai ir 4 264 533 </w:t>
            </w:r>
            <w:r w:rsidR="00000000" w:rsidRPr="00000000" w:rsidDel="00000000">
              <w:rPr>
                <w:i w:val="1"/>
                <w:rtl w:val="0"/>
              </w:rPr>
              <w:t xml:space="preserve">euro</w:t>
            </w:r>
            <w:r w:rsidR="00000000" w:rsidRPr="00000000" w:rsidDel="00000000">
              <w:rPr>
                <w:rtl w:val="0"/>
              </w:rPr>
              <w:t xml:space="preserve">, attiecīgi papildināma anotācija, ka Veselības ministrija iesniegs priekšlikumu par mērķa griestos 2029. gadam plānotā finansējuma samazinājumu 780 656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sadaļas 8.ailē ir paredzēts atspoguļot izmaiņas 2029. gadā, salīdzinot ar vidēja termiņa budžeta ietvaru, lūdzam precizēt 8. ailē norādīto, atspoguļojot 2029. gadam plānotā finansējuma pret 2028. gadam plānotā finansējuma starpību.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 sadaļas 3. punktā un 3.1. apakšpunktā norādīto 2., 4., 6. ailē, attiecīgi aizpildāms 5. punkts un 5.1.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rezultāta rādītājs "dalībnieki, kas ieguvuši kvalifikāciju pēc dalības" – līdz 2029. gada 31. decembrim kvalifikāciju būs ieguvuši 12 348 dalībnieki.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kvalifikāciju ieguvušo dalībnieku skaitu uz 11 289 saskaņā ar pēdējiem programmas grozījumiem, atbilstoši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rezultāta rādītājs "dalībnieki, kas ieguvuši kvalifikāciju pēc dalības" – līdz 2029. gada 31. decembrim kvalifikāciju būs ieguvuši 11 289 dalībnieki.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iznākuma rādītājs "personas ar vidējo izglītību" – līdz 2029. gada 31. decembrim apmācībās piedalījušās 1 234 personas ar vidējo izglītību, tai skaitā līdz 2024. gada 31. decembrim – 26 personas ar vidējo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personu ar vidējo izglītību skaitu uz 1 129 saskaņā ar pēdējiem programmas grozījumiem, atbilstoši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1 234 personu skaitā ietilpst arī SAMP 4.1.2.5 ietvaros piesaistāmās 105 personas ar vidējo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iznākuma rādītājs "personas ar vidējo izglītību" – līdz 2029. gada 31. decembrim apmācībās piedalījušās 1 129 personas ar vidējo izglītību, tai skaitā līdz 2024. gada 31. decembrim – 14 personas ar vidējo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iznākuma rādītājs "personas ar augstāko izglītību" – līdz 2029. gada 31. decembrim apmācībās piedalījušās 11 104 personas ar augstāko izglītību, tai skaitā līdz 2024. gada 31. decembrim – 235 personas ar augstāko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personu ar augstāko izglītību skaitu uz 10 160 saskaņā ar pēdējiem programmas grozījumiem, atbilstoši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11 104 personu skaitā ietilpst arī SAMP 4.1.2.5 ietvaros piesaistāmās 944 personas ar augstāko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iznākuma rādītājs "personas ar augstāko izglītību" – līdz 2029. gada 31. decembrim apmācībās piedalījušās 10 160 personas ar augstāko izglītību, tai skaitā līdz 2024. gada 31. decembrim – 125 personas ar augstāko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Finansējuma saņēmējs projekta īstenošanas laikā nodrošina interešu konflikta neesību saskaņā ar Eiropas Parlamenta un Padomes 2024. gada 23. septembra Regulas (ES, Euratom) Nr. 2024/2509 par finanšu noteikumiem, ko piemēro Savienības vispārējam budžetam (pārstrādāta redakcija), 61.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izvērtējama noteikumu projekta 9. punktā piedāvātā MK noteikumu Nr. 803 18. punkta redakcija. Skaidrojam, ka Eiropas Parlamenta un Padomes 2024. gada 23. septembra Regulas (ES, Euratom) 2024/2509 par finanšu noteikumiem, ko piemēro Savienības vispārējam budžetam (pārstrādāta redakcija) (turpmāk - Regula), 61. pantā minētais regulējums ir tieši piemērojams tādiem projektiem, kas saistīti ar Eiropas Savienības fondu atbalsta saņemšanu un vienlaikus kuros atbilstoši specifiskā atbalsta mērķim finansējuma saņēmējs atlases kārtībā Eiropas Savienības fondu projekta dalībniekiem vai gala saņēmējiem sniedz finansiālu atbalstu (t.s. daudzpakāpju projekti). Tādējādi aicinām izvērtēt konkrētā pasākuma specifiku un nepieciešamību MK noteikumu Nr. 803 18. punktā ietvert atsauci uz Regulu un, ja norādītais ir attiecināms,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netiek īstenoti daudzpakāpju projekti (finansējuma saņēmējs nesniedz finansiālu atbalstu projekta dalībniekiem vai gala saņēmējiem), Eiropas Parlamenta un Padomes Regulas (ES, Euratom) Nr. 2024/2509 61. panta tieša piemērošana nav attiecināma. Precizēta punkta redakcija, svītrojot atsauci uz Regulu un saglabājot vispārīgu prasību par interešu konflikta neesību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Finansējuma saņēmējs projekta īstenošanas laikā nodrošina interešu konflikta neesību saskaņā ar  publisko iepirkumu jomu regulējošajiem normatīvajiem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26-TA-1295</w:t>
    </w:r>
    <w:r>
      <w:br/>
    </w:r>
    <w:r w:rsidR="00000000" w:rsidRPr="00000000" w:rsidDel="00000000">
      <w:rPr>
        <w:rtl w:val="0"/>
      </w:rPr>
      <w:t xml:space="preserve">10.07.2026. 12.07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26-TA-1295</w:t>
    </w:r>
    <w:r>
      <w:br/>
    </w:r>
    <w:r w:rsidR="00000000" w:rsidRPr="00000000" w:rsidDel="00000000">
      <w:rPr>
        <w:rtl w:val="0"/>
      </w:rPr>
      <w:t xml:space="preserve">10.07.2026. 12.07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Izziņa_26-TA-1295.docx</dc:title>
</cp:coreProperties>
</file>

<file path=docProps/custom.xml><?xml version="1.0" encoding="utf-8"?>
<Properties xmlns="http://schemas.openxmlformats.org/officeDocument/2006/custom-properties" xmlns:vt="http://schemas.openxmlformats.org/officeDocument/2006/docPropsVTypes"/>
</file>