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24-TA-936: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Valsts fondēto pensiju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fondēto pensiju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fondēto pensiju shēmas līdzekļu pārvaldītāju atlīdzības samazināšanu, kā to paredz Likumprojekts un Noteikumu projekts, būtu nepieciešama arī Likuma 12. panta turpmāka, pārdomāta attīstība, lai radītu priekšnoteikumus sekmīgu ieguldījumu veikšanai Latvijā un nodrošinātu Latvijas kapitāla tirgus tālāku attīstību, paturot prātā, ka nav pieļaujama tiešu nesamērīgu ierobežojumu uzlikšana brīvai kapitāla apritei. Balstoties uz iepriekš minēto, EM, sadarbībā ar nozares sniegto informāciju (LVCA) uzskata, ka šāds mērķis būtu pakāpeniski sasniedzams izstrādājot vēlamo (nesaistošu) nacionālo ieguldījumu apjomu un paplašinot informēšanas pienākumu.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vienoties ar nozari par nepieciešamiem grozījumiem likumprojektā.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novērtētu ieguldījumu Latvijā ietekmi uz valsts ekonomiku un Valsts fondēto pensiju shēmas dalībnieku pensijas kapitāla ienesīgumu, sanāksmes laikā dalībnieki vienojās par iespējamo diskusijas organizēšanu saistībā ar ieguldījumu Latvijā ietekmi uz valsts ekonomiku un Valsts fondēto pensiju shēmas dalībnieku pensijas kapitāla ienesīgumu pēc Latvijas Bankas pētījuma noslēguma.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fondēto pensiju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fondēto pensiju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lielo līdzekļu pārvaldītāju atlīdzības samazināšanu. Šāds priekšlikums stimulēs pensiju pārvaldniekus samazināt savas darbības izmaksas un izvēlēties ieguldījumus ārvalstu finanšu instrumentos, kas ir viegli pieejami un kuru transakciju izmaksas ir zemas (ieguldījumi Latvijā prasa lielākus darbaspēka un finanšu resursus kā līdzvērtīgi ieguldījumi, piemēram, ASV vai Lielbritānijā kotētos finanšu instrumentos). Rezultātā tiks sekmēta vēl lielāka kapitāla aizplūde no Latvijas, pretēji pensiju plānu dalībnieku ilgtermiņa interesēm. Ir veicināma līdzekļu ieguldīšana MVU un tādos Alternatīvo Ieguldījumu Fondos (AIF), kuru parakstītais kapitāls nepārsniedz EUR 500. Līdz ar to EM sadarbībā ar nozari (LVCA) ierosina Likumā un Noteikumos ieviest samērīgus motivējošus mehānismus, kas mudinātu pārvaldītājus izskatīt un izmantot ieguldījumu iespējas arī tādos kapitāla tirgus segmentos un instrumentos, kas ietver augstākas izvērtēšanas un uzraudzības izmaksas, bet sniedz būtisku tiešu un netiešu (multiplicējošu) pozitīvu efektu vietējās ekonomikas attīstībai.Ierosinām paredzēt tiesības pārvaldītājam palielināt atlīdzības pastāvīgo daļu proporcionāli veiktajiem ieguldījumiem šādos instrumentos.Lūgums šo risinājumu grozījumos saskaņot ar nozari (LVCA).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Sanāksmes laikā tika rasts risinājums un precizēts likumprojekts.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fondēto pensiju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fondēto pensiju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Atbilstoši jau šobrīd Likumā pastāvošajam regulējumam, kuru plānots saglabāt arī pēc Likumprojekta  pieņemšanas, maksājumu par ieguldījumu plāna pārvaldi veido fiksētā daļa un mainīgā daļa. Likumā (precizējot to ar Likumprojektu) ir noteikta fiksētā daļa, bet mainīgā daļa tiek regulēta Noteikumu līmenī.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un nozare atbalsta šādu pieeju, tomēr vēlas norādīt, ka, tā kā atskaites indeksu noteikšana deleģēta Noteikumu regulējumam, tad, lai saglabātu konsekventu tiesību normu hierarhiju šajā jautājumā, arī indeksu kombinācijas būtu regulējama tikai Noteikumu līmenī.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Tāpat arī Likuma regulējuma līmenī jāsaglabā vispārīga pieeja, jo mainoties tirgus tendencēm var tikt izstrādāti indeksi, kas nav tikai parāda un kapitāla vērtspapīru indeksi, līdz ar to, nosakot, ka indeksi un indeksu kombinācijas tiek regulētas Noteikumu līmenī, tiek saglabāts esošais princips, bet netiek iekļauti ierobežojumi attiecībā uz indeksu kombinācijām un jaunu indeksu veidu ieviešanu.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vienoties ar nozari par iespējamo risinājumu grozījumu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fondēto pensiju likuma 11. panta 5.</w:t>
            </w:r>
            <w:r w:rsidR="00000000" w:rsidRPr="00000000" w:rsidDel="00000000">
              <w:rPr>
                <w:vertAlign w:val="superscript"/>
                <w:rtl w:val="0"/>
              </w:rPr>
              <w:t xml:space="preserve">1</w:t>
            </w:r>
            <w:r w:rsidR="00000000" w:rsidRPr="00000000" w:rsidDel="00000000">
              <w:rPr>
                <w:rtl w:val="0"/>
              </w:rPr>
              <w:t xml:space="preserve"> daļas 2. punkts paredz vispārīgu skaidrojumu attiecībā uz maksājuma mainīgo daļu, savukārt maksājuma mainīgās daļas detalizētus un specifiskos noteikumus paredz Ministru kabineta noteikumi, proti, minētais punkts kopumā ir jālasa kā deleģējums Ministru kabinetam izdot Ministru kabineta noteikumus. Deleģējums Ministru kabinetam izdot noteikumus ir jāveido, nosakot noteikumu satura galveno virzienu aprakstu, tai skaitā, atskaites indeksu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Likumam ir skaidri jānosaka līdzekļu pārvaldītājam pienākošās atlīdzības pamatprincipi, savukārt, Ministru kabineta noteikumiem detalizētāk jāreglamentē un jāskaidro šīs atlīdzības veidi, sastāvs, specifiskie nosacījumi un aprēķina kārtība. Maksājuma mainīgās daļas atkarība no pensiju plāna ienesīguma pārsnieguma virs atskaites indeksa, kā arī tas, ka atskaites indekss tiek noteikts kā parāda vērtspapīru un kapitāla vērtspapīru indeksu kombinācijas, ir pārvaldītājam pienākošās maksājuma mainīgās daļas veidošanas pamatprincipi, kuri, pamatojoties uz izklāstīto, ir iekļauti Likumā jau šobrīd, tāpēc netiek saskatīts pamatojumu šādu izmaiņu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fondēto pensiju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6.</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6.</w:t>
            </w:r>
            <w:r w:rsidR="00000000" w:rsidRPr="00000000" w:rsidDel="00000000">
              <w:rPr>
                <w:b w:val="1"/>
                <w:vertAlign w:val="superscript"/>
                <w:rtl w:val="0"/>
              </w:rPr>
              <w:t xml:space="preserve">1</w:t>
            </w:r>
            <w:r w:rsidR="00000000" w:rsidRPr="00000000" w:rsidDel="00000000">
              <w:rPr>
                <w:b w:val="1"/>
                <w:rtl w:val="0"/>
              </w:rPr>
              <w:t xml:space="preserve"> Dalības fondēto pensiju shēmā pārtraukšana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Fondēto pensiju shēmas dalībnieks ne agrāk kā piecus gadus pirms  likumā “Par valsts pensijām” noteiktā vecuma pensijas piešķiršanai nepieciešamā vecuma sasniegšanas var iesniegt Aģentūrā iesniegumu par turpmāku dalības fondēto pensiju shēmā pārtraukšanu. Ja dalībnieks ir izdarījis šā likuma 3.</w:t>
            </w:r>
            <w:r w:rsidR="00000000" w:rsidRPr="00000000" w:rsidDel="00000000">
              <w:rPr>
                <w:vertAlign w:val="superscript"/>
                <w:rtl w:val="0"/>
              </w:rPr>
              <w:t xml:space="preserve">1</w:t>
            </w:r>
            <w:r w:rsidR="00000000" w:rsidRPr="00000000" w:rsidDel="00000000">
              <w:rPr>
                <w:rtl w:val="0"/>
              </w:rPr>
              <w:t xml:space="preserve"> pantā minēto izvēli, tā vairs nav spēkā no dienas, kad ir pārtraukta dalība fondēto pensiju shēmā. Dalībnieka izdarītā izvēle pārtraukt turpmāku dalību fondēto pensiju shēmā ir galīga, nav pārskatāma un viņa turpmāka dalība fondēto pensiju shēmā nav atjaunojama.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Aģentūra, saņemot šā panta pirmajā daļā minēto iesniegumu, slēdz fondēto pensiju shēmas dalībnieka kontu, fondētās pensijas kapitālu pievieno iesnieguma iesniegšanas gadā uzkrātajam nefondētajam pensijas kapitālam un turpmāk to aktualizē atbilstoši likumā “Par valsts pensijām”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anotācijā sniegt pamatojumu, kādēļ likumprojekts paredz noteikt termiņu konkrēti </w:t>
            </w:r>
            <w:r w:rsidR="00000000" w:rsidRPr="00000000" w:rsidDel="00000000">
              <w:rPr>
                <w:b w:val="1"/>
                <w:rtl w:val="0"/>
              </w:rPr>
              <w:t xml:space="preserve">ne agrāk kā piecus gadus </w:t>
            </w:r>
            <w:r w:rsidR="00000000" w:rsidRPr="00000000" w:rsidDel="00000000">
              <w:rPr>
                <w:rtl w:val="0"/>
              </w:rPr>
              <w:t xml:space="preserve">pirms likumā “Par valsts pensijām” noteiktā vecuma pensijas piešķiršanai nepieciešamā vecuma sasniegšanas - paredzot iespēju iesniegt Aģentūrā iesniegumu par turpmāku dalības fondēto pensiju shēmā pārtraukšanu. Lai būtu skaidrs pamatojums minētā termiņa noteikšanai, uz kā pamata jaunākas personas nevērs izmantot minēto iespēju.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protokollēmuma projekta 5.punktu, Likumprojekts netiks papildināts ar 6.</w:t>
            </w:r>
            <w:r w:rsidR="00000000" w:rsidRPr="00000000" w:rsidDel="00000000">
              <w:rPr>
                <w:vertAlign w:val="superscript"/>
                <w:rtl w:val="0"/>
              </w:rPr>
              <w:t xml:space="preserve">1</w:t>
            </w:r>
            <w:r w:rsidR="00000000" w:rsidRPr="00000000" w:rsidDel="00000000">
              <w:rPr>
                <w:rtl w:val="0"/>
              </w:rPr>
              <w:t xml:space="preserve"> pantu. Nepieciešams plašāks skatījums saistībā ar pensiju 2.līmeņa attīstību, kā arī jāizvērtē sasaiste ar tendencēm, kas vērojamas citu valstu pensiju sistēmās. Izstrādājot nākošos likumprojekta grozījumus tiks meklēti papildus risinājumi saistībā ar plašākām iespējām personām rīkoties ar savu pensiju 2.līmeņa kapitālu, kā arī tiks padziļinātāk vērtēts un iespējams precizēts esošais piedāvājums un izskatīti citi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6.</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6.</w:t>
            </w:r>
            <w:r w:rsidR="00000000" w:rsidRPr="00000000" w:rsidDel="00000000">
              <w:rPr>
                <w:b w:val="1"/>
                <w:vertAlign w:val="superscript"/>
                <w:rtl w:val="0"/>
              </w:rPr>
              <w:t xml:space="preserve">1</w:t>
            </w:r>
            <w:r w:rsidR="00000000" w:rsidRPr="00000000" w:rsidDel="00000000">
              <w:rPr>
                <w:b w:val="1"/>
                <w:rtl w:val="0"/>
              </w:rPr>
              <w:t xml:space="preserve"> Dalības fondēto pensiju shēmā pārtraukšana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Fondēto pensiju shēmas dalībnieks ne agrāk kā piecus gadus pirms  likumā “Par valsts pensijām” noteiktā vecuma pensijas piešķiršanai nepieciešamā vecuma sasniegšanas var iesniegt Aģentūrā iesniegumu par turpmāku dalības fondēto pensiju shēmā pārtraukšanu. Ja dalībnieks ir izdarījis šā likuma 3.</w:t>
            </w:r>
            <w:r w:rsidR="00000000" w:rsidRPr="00000000" w:rsidDel="00000000">
              <w:rPr>
                <w:vertAlign w:val="superscript"/>
                <w:rtl w:val="0"/>
              </w:rPr>
              <w:t xml:space="preserve">1</w:t>
            </w:r>
            <w:r w:rsidR="00000000" w:rsidRPr="00000000" w:rsidDel="00000000">
              <w:rPr>
                <w:rtl w:val="0"/>
              </w:rPr>
              <w:t xml:space="preserve"> pantā minēto izvēli, tā vairs nav spēkā no dienas, kad ir pārtraukta dalība fondēto pensiju shēmā. Dalībnieka izdarītā izvēle pārtraukt turpmāku dalību fondēto pensiju shēmā ir galīga, nav pārskatāma un viņa turpmāka dalība fondēto pensiju shēmā nav atjaunojama.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Aģentūra, saņemot šā panta pirmajā daļā minēto iesniegumu, slēdz fondēto pensiju shēmas dalībnieka kontu, fondētās pensijas kapitālu pievieno iesnieguma iesniegšanas gadā uzkrātajam nefondētajam pensijas kapitālam un turpmāk to aktualizē atbilstoši likumā “Par valsts pensijām”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- 31.07.2024.)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izslēgt likumprojekta 1.pantu.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Asociācija iepriekš ir norādījusi (</w:t>
            </w:r>
            <w:r w:rsidR="00000000" w:rsidRPr="00000000" w:rsidDel="00000000">
              <w:rPr>
                <w:i w:val="1"/>
                <w:rtl w:val="0"/>
              </w:rPr>
              <w:t xml:space="preserve">skat., piemēram, Asociācijas 2023.gada 16.augusta vēstuli Saeimas Sociālo un darba lietu komisijai https://www.financelatvia.eu/wp-content/uploads/2023/08/078_1_23_78_Saeima.pdf</w:t>
            </w:r>
            <w:r w:rsidR="00000000" w:rsidRPr="00000000" w:rsidDel="00000000">
              <w:rPr>
                <w:rtl w:val="0"/>
              </w:rPr>
              <w:t xml:space="preserve">), tad, kad pensiju otrā līmeņa līdzekļi tiek pārskaitīti uz pensiju pirmo līmeni, personai būtu jāzina, kad ir piemērotākais brīdis. Lai izdarītu savām interesēm atbilstošu izvēli, topošajam pensionāram ir jāpiemīt pietiekamai finanšu pratībai, kas ir līdzvērtīga finanšu tirgus analītiķim, lai izvērtētu, kad finanšu tirgi šim lēmumam ir vislabvēlīgākie. Tomēr, ir būtiski atzīmēt, ka arī personai piemītot pietiekamai finanšu pratībai, labvēlīgo brīdi līdzekļu pārskaitīšanai precīzi noteikt nav iespējams, jo neviens nevar precīzi prognozēt finanšu tirgu izmaiņas.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par dalības pārtraukšanu fondēto pensiju shēmā piecus gadus pirms likumā “Par valsts pensijām” noteiktā vecuma pensijas piešķiršanai nepieciešamā vecuma sasniegšanas, rada papildus risku, ka pensiju shēmas dalībnieki varētu veikt līdzekļu izņemšanu brīdī, kad finanšu tirgū ir noticis aktīvu cenu kritums. Kā arī rada situāciju, ka 5 gadus pirms pensijas topošo pensionāru nauda nav ieguldīta finanšu tirgos, attiecīgi tiek zaudēta iespēja palielināt savu pensijas kapitālu. Šāda rīcība pamatoti palielina iespēju, ka dalībnieki saņems mazāku vecuma pensiju, nekā gadījumā, ja šāda iespēja dalībniekiem nepastāvētu.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varam paskaidrot, ka šāds viedoklis ir pamatots arī ar līdzekļu pārvaldītāju līdzšinējiem novērojumiem reālā praksē, kad, piemēram, pastiprināta līdzekļu izmaksa no pensiju 3.līmeņa pensiju plāniem notiek cenu krituma brīžos. Piemēram, izmaksas no viena pārvaldītāja pensiju 3.līmeņa plāniem 2020. gada martā, kad bija vērojams straujš vērtības kritums finanšu tirgos Covid-19 pandēmijas ietekmē, apmēram 4 reizes pārsniedza izmaksas, kas bija novērojamas 2019. un 2021. gada martā.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jāvērš uzmanība, ka līdzekļu pārvaldītājiem nebūtu iespējams sniegt konsultāciju šādiem dalībniekiem pirms līdzekļu izņemšanas no fondēto pensiju shēmas, jo līdzekļu pārvaldītāji neveic dalībnieku rīkojumu apstrādi, t.i. pārvaldītāji par šādu dalībnieka lēmumu uzzinātu tikai pēc rīkojuma iesniegšanas www.latvija.gov.lv un rīkojuma apstrādes VSAA.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jāapzinās, ka tad, kad persona pārskaitīs līdzekļus uz pirmo pensiju līmeni, tiek zaudētas tiesības tos mantot. Kopumā šāds risinājums nevienā no vērtējumiem neatbilst pašu topošo pensijas saņēmēju interesēm.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Pārņemot pasaules praksi, </w:t>
            </w:r>
            <w:r w:rsidR="00000000" w:rsidRPr="00000000" w:rsidDel="00000000">
              <w:rPr>
                <w:u w:val="single"/>
                <w:rtl w:val="0"/>
              </w:rPr>
              <w:t xml:space="preserve">efektīvāks risinājums būtu iespēja atlikt fondēto pensiju shēmas uzkrājuma izmaksu pēc vecuma pensijas piešķiršanai nepieciešamā vecuma sasniegšanas</w:t>
            </w:r>
            <w:r w:rsidR="00000000" w:rsidRPr="00000000" w:rsidDel="00000000">
              <w:rPr>
                <w:rtl w:val="0"/>
              </w:rPr>
              <w:t xml:space="preserve">. Tas radītu pretēju efektu - ļautu atlikt izmaksu aktīvu vērtības krituma brīdī </w:t>
            </w:r>
            <w:r w:rsidR="00000000" w:rsidRPr="00000000" w:rsidDel="00000000">
              <w:rPr>
                <w:u w:val="single"/>
                <w:rtl w:val="0"/>
              </w:rPr>
              <w:t xml:space="preserve">un potenciāli palielināt dalībnieka vecuma pensiju</w:t>
            </w:r>
            <w:r w:rsidR="00000000" w:rsidRPr="00000000" w:rsidDel="00000000">
              <w:rPr>
                <w:rtl w:val="0"/>
              </w:rPr>
              <w:t xml:space="preserve">. Vienlaikus jāņem vērā, ka tirgus cenu virzība ir grūti prognozējama, it īpaši īstermiņā, </w:t>
            </w:r>
            <w:r w:rsidR="00000000" w:rsidRPr="00000000" w:rsidDel="00000000">
              <w:rPr>
                <w:u w:val="single"/>
                <w:rtl w:val="0"/>
              </w:rPr>
              <w:t xml:space="preserve">tādēļ dalībniekam izdevīga būtu pakāpeniska aktīvu izņemšana no valsts fondēto pensiju shēmas</w:t>
            </w:r>
            <w:r w:rsidR="00000000" w:rsidRPr="00000000" w:rsidDel="00000000">
              <w:rPr>
                <w:rtl w:val="0"/>
              </w:rPr>
              <w:t xml:space="preserve">, jo šāda iespēja būtiski mazinātu atkarību no tirgus situācijas līdzekļu izmaksas brīdī. </w:t>
            </w:r>
            <w:r w:rsidR="00000000" w:rsidRPr="00000000" w:rsidDel="00000000">
              <w:rPr>
                <w:u w:val="single"/>
                <w:rtl w:val="0"/>
              </w:rPr>
              <w:t xml:space="preserve">Aicinām politikas veidotājus apsvērt šo risinājumu, lai dalībnieki varētu turpināt fondēto pensijas shēmas līdzekļu uzkrāšanu pēc attiecīgā vecuma sasniegšanas vienlaikus radot iespēju tos izņemt no finanšu tirgus pakāpeniski un audzēt savu uzkrājumu.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OECD pētījumā (</w:t>
            </w:r>
            <w:r w:rsidR="00000000" w:rsidRPr="00000000" w:rsidDel="00000000">
              <w:rPr>
                <w:i w:val="1"/>
                <w:rtl w:val="0"/>
              </w:rPr>
              <w:t xml:space="preserve">“OECD Economic Surveys: Latvia 2024”, 108.lpp., saite - https://www.oecd-ilibrary.org/deliver/dfeae75b-en.pdf?itemId=%2Fcontent%2Fpublication%2Fdfeae75b-en&amp;mimeType=pdf</w:t>
            </w:r>
            <w:r w:rsidR="00000000" w:rsidRPr="00000000" w:rsidDel="00000000">
              <w:rPr>
                <w:rtl w:val="0"/>
              </w:rPr>
              <w:t xml:space="preserve"> ) </w:t>
            </w:r>
            <w:r w:rsidR="00000000" w:rsidRPr="00000000" w:rsidDel="00000000">
              <w:rPr>
                <w:u w:val="single"/>
                <w:rtl w:val="0"/>
              </w:rPr>
              <w:t xml:space="preserve">negatīvi vērtēta pieeja par uzkrājuma izmaksu pirms vecuma pensijas piešķiršanai nepieciešamā vecuma sasniegšana</w:t>
            </w:r>
            <w:r w:rsidR="00000000" w:rsidRPr="00000000" w:rsidDel="00000000">
              <w:rPr>
                <w:rtl w:val="0"/>
              </w:rPr>
              <w:t xml:space="preserve">s, tostarp, minot iepriekšminētos argumentus (</w:t>
            </w:r>
            <w:r w:rsidR="00000000" w:rsidRPr="00000000" w:rsidDel="00000000">
              <w:rPr>
                <w:i w:val="1"/>
                <w:rtl w:val="0"/>
              </w:rPr>
              <w:t xml:space="preserve">angl. val. “This could lead to large capital losses for individual pension plans due to short-termism by less informed pensioners and, in the tail event that redemptions outweigh inflows, curb the development of capital markets by reducing the funding base of private institutional investors.”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pievēršam uzmanību, ka likumprojektā pašlaik ietvertais piedāvājums visticamāk rada papildus budžeta izdevumus, kas nav norādīti piedāvātā regulējuma skaidrojumā (piemēram iekļaujot šo kapitālu kā maksājumu pensiju 1. līmenī, tas būs jāindeksē, palielināsies arī valsts uzņemtais ilgdzīves risks (longevity risk un taml., valstij būs jānodrošina adekvāta klientu konsultēšanas kapacitāte un kvalitāte tiem cilvēkiem, kas vērsīsies pēc padoma par izvēles izdarīšanu).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tam papildus jānorāda, ka anotācijā likumprojekta 1.panta regulējuma pamatojumā norādītais Igaunijas piemērs jau ir nesis “zināmus” rezultātus – Igaunijā katrs trešais  izmantojis iespēju atteikties no 2. pensiju līmeņa. Taču tagad viņu nākotnes pensijas būs par 30% mazākas. Pie tam tuvākajos gados nebūšot iespēja atkal veikt izmaiņas 2.pensiju līmeņa sistēmā. (</w:t>
            </w:r>
            <w:r w:rsidR="00000000" w:rsidRPr="00000000" w:rsidDel="00000000">
              <w:rPr>
                <w:i w:val="1"/>
                <w:rtl w:val="0"/>
              </w:rPr>
              <w:t xml:space="preserve">skat. – “Igauņi var! Bet – vai vajag?”, žurnāls IR Finanšu pratība – speciālizlaidums, Novembris-decembris, 2023, 30.lpp.</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likumprojekta 1.pantu.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protokollēmuma projekta 5.punktu, Likumprojekts netiks papildināts ar 6.</w:t>
            </w:r>
            <w:r w:rsidR="00000000" w:rsidRPr="00000000" w:rsidDel="00000000">
              <w:rPr>
                <w:vertAlign w:val="superscript"/>
                <w:rtl w:val="0"/>
              </w:rPr>
              <w:t xml:space="preserve">1</w:t>
            </w:r>
            <w:r w:rsidR="00000000" w:rsidRPr="00000000" w:rsidDel="00000000">
              <w:rPr>
                <w:rtl w:val="0"/>
              </w:rPr>
              <w:t xml:space="preserve"> pantu. Nepieciešams plašāks skatījums saistībā ar pensiju 2.līmeņa attīstību, kā arī jāizvērtē sasaiste ar tendencēm, kas vērojamas citu valstu pensiju sistēmās. Izstrādājot nākošos likumprojekta grozījumus tiks meklēti papildus risinājumi saistībā ar plašākām iespējām personām rīkoties ar savu pensiju 2.līmeņa kapitālu, kā arī tiks padziļinātāk vērtēts un iespējams precizēts esošais piedāvājums un izskatīti citi alternatīvie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8. panta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fondēto pensiju shēmas dalībnieks ir izdarījis izvēli atbilstoši šā likuma 3.</w:t>
            </w:r>
            <w:r w:rsidR="00000000" w:rsidRPr="00000000" w:rsidDel="00000000">
              <w:rPr>
                <w:vertAlign w:val="superscript"/>
                <w:rtl w:val="0"/>
              </w:rPr>
              <w:t xml:space="preserve">1</w:t>
            </w:r>
            <w:r w:rsidR="00000000" w:rsidRPr="00000000" w:rsidDel="00000000">
              <w:rPr>
                <w:rtl w:val="0"/>
              </w:rPr>
              <w:t xml:space="preserve"> panta pirmās daļas 3. punktam, bet: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10 gadu laikā no viņa nāves dienas Aģentūra nav saņēmusi mantinieka pieprasījumu izmaksāt fondētās pensijas kapitālu, neizmaksātais fondētās pensijas kapitāls tiek ieskaitīts valsts pensiju speciālajā 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mantojums ir atzīts par bezmantinieka mantu un zvērināts notārs Aģentūrā ir iesniedzis aktu par mantojuma lietas izbeigšanu, Civillikumā noteiktā bezmantinieka mantas piekritība valstij ir saprotama kā piekritība valsts pensiju speciālajam budžetam daļā par fondētās pensijas kapitālu, no kura nesedz kreditoru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Secināms, ka ar šī likumprojekta 2. pantu paredzēts atkāpties no vispārējās kārtības attiecībā uz mirušā kreditoru tiesībām pretendēt uz savas kreditoru pretenzijas segšanu gadījumā, ja parādnieka mantojums atzīts par bezmantinieka mantu. Tieslietu ministrija lūdz ietvert anotācijā plašāku izvērtējumu un skaidrojumu par to, kāpēc personas uzkrātais fondētās pensijas kapitāls, ja tās mantojums atzīts par bezmantinieka mantu, nepiedalās mirušās personas kreditoru prasījumu segšanā (tajā skaitā anotācijā nepieciešams iekļaut izvērtējumu par to, vai šāds regulējums atbilst Satversmes 105.pantam, kas aizsargā katras personas tiesības uz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šobrīd saskaņā ar Civillikuma 382. pantu mantojums ir kopība, kurā ietilpst visa kustamā un nekustamā manta, kā arī citiem atdodamās tiesības un saistības, kas mirušam vai par mirušu izsludinātam piederējušas viņa patiesās vai tiesiski pieņemamās nāves laikā. Tādējādi, ja fondēto pensiju shēmas dalībnieks ir izdarījis izvēli atbilstoši Valsts fondēto pensiju likuma 3.</w:t>
            </w:r>
            <w:r w:rsidR="00000000" w:rsidRPr="00000000" w:rsidDel="00000000">
              <w:rPr>
                <w:vertAlign w:val="superscript"/>
                <w:rtl w:val="0"/>
              </w:rPr>
              <w:t xml:space="preserve">1</w:t>
            </w:r>
            <w:r w:rsidR="00000000" w:rsidRPr="00000000" w:rsidDel="00000000">
              <w:rPr>
                <w:rtl w:val="0"/>
              </w:rPr>
              <w:t xml:space="preserve"> panta pirmās daļas 3. punktam (par kapitāla mantošanu tā nāves gadījumā), būtu uzskatāms, ka šis uzkrātais fondētās pensijas kapitāls tomēr ietilpst mirušā mantojuma masā un attiecīgi saskaņā ar vispārējo regulējumu (Civillikuma 416. pantu) uz šo mantu, savu prasījumu segšanai, var pretendēt arī mirušā tiesīgie kreditori. Līdz ar to, lai atkāptos no vispārējās kārtības, nepieciešams pamatojums šāda regulējuma pieļaujamībai un izvērtējums par tā atbilstību Satversmei.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sekojošu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Saeima 2018. gada 11. oktobrī pieņēma likumu “Grozījumi Valsts fondēto pensiju likumā”, kas paredz no 2020. gada 1. janvāra VFPS dalībniekam izvēlēties, kā izmantot viņa VFP kapitālu, ja dalībnieks nomirst pirms vecuma pensijas piešķiršanas. Šīs izmaiņas tika veiktas 18 gadus pēc valsts fondētās pensiju shēmas darbības uzsākšanas un 24 gadus pēc valsts pensiju sistēmas reformas, kas sākotnēji paredzēja valsts fondētās pensiju shēmas izveidošanu un neizmantotā valsts fondētā pensijas kapitāla novirzīšanu valsts pensiju speciālajā budžetā, tādējādi saglabājot sociālās apdrošināšanas speciālā budžeta ilgtspēju. Valsts pensiju sistēmā primārs ir solidaritātes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izvērtējot valsts ekonomiskās iespējas un citus apstākļus, var izmantot savu rīcības brīvību un veidot sociālās drošības sistēmu, nosakot tās darbības vispārējos principus, līdzekļu iemaksāšanas, administrēšanas, pārvaldīšanas un izmaksāšanas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fondēto pensiju likumā noteiktais šobrīd panāk saprātīgu līdzsvaru starp sabiedrības interesēm uz solidaritātes ievērošanu valsts pensiju sistēmā un personas individuālo uzkrājumu un tiesībām noteikt tā tālāku izmantošanu, izvērtējot, kas ir izdevīgākais risinājums, un primāri no nepilngadīgo bērnu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noteica, lai nodrošinātu, ka valsts sociālās apdrošināšanas obligāto iemaksu daļa no valsts sociālās apdrošināšanas speciālajiem budžetiem un valsts pamatbudžeta netiktu mantota un vienlaikus kompensētu no pensiju speciālā budžeta ieguldīto, fondētās pensijas kapitāls, kas veidojas no šīm obligātajām iemaksām par periodu līdz 2019. gada 31. decembrim, mantošanai tiek nodots 80 % apmērā, bet 20 % tiek ieskaitīti valsts pensiju speciālajā 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fondētās pensijas kapitālu nevar skatīt atrauti no pensiju sistēmas un tajā pastāvošā solidaritātes principa un citiem mērķiem, ko pensiju sistēmai ir jāsasniedz. Likumdevējam valsts fondētās pensiju uzkrājuma gadījumā rīcības brīvība ir plašāka nekā, piemēram, uzkrājuma privātajos pensiju fondos gadījumā. Likumdevējs šo rīcības brīvību ir izmantojis racionāli, garantējot personai iespēju brīvi izdarīt izvēli.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izvēles neizdarīšanas gadījumā, uzkrājums nonāk valsts pensiju speciālajā budžetā, un tas primāri bija iecerēts, lai nodrošinātu bērnu intereses. Proti, šo summu izmanto apgādnieka zaudējuma pensijas aprēķinam un izmaksai, nevis, piemēram, to mantotu laulātais vai testamentā jebkura cita norādītā persona pēc bērnu neatraidāmas daļas izdalīšanas.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fondēto pensiju likuma 8. panta trešo daļu gadījumos, kad valsts fondēto pensiju shēmas dalībnieks izdarījis izvēli atbilstoši šā likuma 3.1 panta pirmās daļas 3. punktam, bet 10 gadu laikā no viņa nāves dienas Aģentūra nav saņēmusi mantinieka pieprasījumu izmaksāt fondētās pensijas kapitālu, neizmaksātais fondētās pensijas kapitāls tiek ieskaitīts valsts pensiju speciālajā budžetā. No iepriekš minētā izriet, ka likumdevējs ir devis pietiekamu laiku, lai mantinieki varētu pieteikties mantojumam un pieprasīt izmaksāt mantoto fondēto pensijas kapitālu.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par politikas mērķi ir noteicis, ka uzkrātais fondētās pensijas kapitāls iespējami jāpatur pensiju sistēmā un sociālajām vajadzībām, nevis patēriņam pēc mantošanas Civillikuma kārtībā. Sabiedrības intereses uz sociālo nodrošinājumu, tostarp bērnu intereses, likumdevējs uzskata par vairāk aizsargājamām nekā nomirušās personas radinieku vai citu personu tiesības. Fondēto pensiju shēmas izveidošana sekmē uzkrājumu veidošanu, un tie vienlaikus kalpo kā papildu balsts sociālās drošības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fondētā pensijas kapitāla specifisko raksturu, jo arī īpašumu veidi un to aizsardzība, un no tiem izrietošās tiesības un pienākumi var atšķirties, likumdevējs noteica, ka uzkrātais kapitāls automātiski nav uzskatāms par mantojuma masas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Fondētās pensijas kapitāla mantošana nav pielīdzināma naudas noguldījumu mantošanai.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fondētā pensijas kapitāla mantošana ir ļoti īpaša un tikai tad, ja ir pieteikušies mantinieki, pretējā gadījumā primāras ir sabiedrības intereses uz sociālo nodrošinājumu. Līdz ar to, fondētās pensijas kapitāls gadījumā, kad nav pieteikušies mantinieki ir ieskaitāms valsts pensiju speciālajā budžetā un ņemams vērā nosakot apgādnieka zaudējuma pensijas apmēru mirušā apgādājamajiem, ja tādi ir.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likumprojekta 8.panta atbilstību Satversmes 105. pantam, norādām, ka Fondētais pensiju kapitāls ir daļa no valsts pensiju sistēmas, kur likumdevējs ir paredzējis noteiktus nosacījumus P2L izmantošanai un mantošanai, lai P2L līdzekļi netiktu izmantoti nelietderīgi un tie kalpotu pensiju sistēmas mērķim - vecumdienu nodrošināšanai pašai personai, apgādnieka zaudējuma pensijas izmaksai vai kā papildu balsts sociālās drošības sistēmai īstenojot solidaritātes principu.105. pantā minētie nosacījumi nedrīkst ierobežot valsts tiesības izdot tādus likumus, kādus tā uzskata par nepieciešamiem, lai kontrolētu īpašuma izmantošanu saskaņā ar vispārējām interesēm (Satversmes tiesas 2007. gada 8. jūnija spriedums lietā Nr. 2007-01-01).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iepriekšminēto, grozījumi nav pretrunā ar Satversmes 105.pantu,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Pamattiesību ierobežojums tiks noteikts ar pienācīgā kārtībā pieņemtu likumu - ar grozījumiem Valsts fondēto pensiju likuma 8.pantā.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Šim ierobežojumam ir leģitīms mērķis - apgādnieka zaudējuma pensijas izmaksai vai kā papildu balsts sociālās drošības sistēmai īstenojot solidaritātes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šis ierobežojums ir samērīgs ar tā leģitīmo mērķi - valsts apzināti ir izveidojusi pensiju sistēmu, lai primāri personai īstenotu Satversmes 109.pantā garantētās tiesības uz sociālo nodrošinājumu vecuma gadījumā, kā arī īstenotu sabiedrības vispārējās intereses.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uzkrātais valsts fondētās pensijas kapitāls tiek aizsargāts saskaņā ar Satversmes 105. pantu, to nevar skatīt atrauti no valsts pensiju sistēmas un tajā pastāvošā solidaritātes principa un citiem mērķiem, kas valsts pensiju sistēmai ir jāsasniedz. Līdz ar to likumdevējam valsts fondēto pensiju līmeņa uzkrājumu gadījumā rīcības brīvība ir plašāka nekā, piemēram, uzkrājumu privātajos pensiju fondos gadījumā. Likumdevējs šo rīcības brīvību ir izmantojis racionāli, garantējot personai iespēju brīvi izdarīt izvēli.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8. panta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fondēto pensiju shēmas dalībnieks ir izdarījis izvēli atbilstoši šā likuma 3.</w:t>
            </w:r>
            <w:r w:rsidR="00000000" w:rsidRPr="00000000" w:rsidDel="00000000">
              <w:rPr>
                <w:vertAlign w:val="superscript"/>
                <w:rtl w:val="0"/>
              </w:rPr>
              <w:t xml:space="preserve">1</w:t>
            </w:r>
            <w:r w:rsidR="00000000" w:rsidRPr="00000000" w:rsidDel="00000000">
              <w:rPr>
                <w:rtl w:val="0"/>
              </w:rPr>
              <w:t xml:space="preserve"> panta pirmās daļas 3. punktam, bet: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10 gadu laikā no viņa nāves dienas Aģentūra nav saņēmusi mantinieka pieprasījumu izmaksāt fondētās pensijas kapitālu, neizmaksātais fondētās pensijas kapitāls tiek ieskaitīts valsts pensiju speciālajā 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mantojums ir atzīts par bezmantinieka mantu un zvērināts notārs Aģentūrā ir iesniedzis aktu par mantojuma lietas izbeigšanu, Civillikumā noteiktā bezmantinieka mantas piekritība valstij ir saprotama kā piekritība valsts pensiju speciālajam budžetam daļā par fondētās pensijas kapitālu, no kura nesedz kreditoru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(LVCA - 07.11.2024.)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LVCA ierosina Likumā un Noteikumos ieviest samērīgus motivējošus mehānismus, kas mudinātu pārvaldītājus izskatīt un izmantot ieguldījumu iespējas arī tādos kapitāla tirgus segmentos un instrumentos, kas ietver augstākas izvērtēšanas un uzraudzības izmaksas, bet sniedz būtisku tiešu un netiešu (multiplicējošu) pozitīvu efektu vietējās ekonomikas attīstībai. LVCA ierosina paredzēt tiesības pārvaldītājam palielināt atlīdzības pastāvīgo daļu proporcionāli veiktajiem ieguldījumiem šādos instrumentos, papildinot LB ierosinātās izmaiņas Likuma 11.panta 51 daļas 1.pantu ar punktu (e)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11.panta 5.1 daļas 1.pantu ar punktu (e) šādā redakcijā: “(e) līdzekļu pārvaldītājam ir tiesības palielināt maksimālo pastāvīgo komisijas maksu kā tas paredzēts šī panta punktos (a)-(d) proporcionāli ieguldījuma plāna iepriekšējā gada vidējam īpatsvaram tiešos ieguldījumos parāda un kapitāla vērtspapīros, kas ieguldīti MVU, un tādos Alternatīvo Ieguldījumu Fondos (AIF), kuru parakstītais kapitāls nepārsniedz EUR 500 000 000 (AIF ieguldījumu īpatsvars tiek mērīts pēc parakstītā kapitāla). Par katru īpatsvara procentpunktu atbilstošos ieguldījumos, pārvaldītājs ir tiesīgs palielināt maksimālo pastāvīgo komisijas maksas aprēķlināto apmēru par vienu procentu no tā, kas noteikts saskaņā ar šī panta punktiem (a)-(d), bet ne vairāk kā par 25% kopā”.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Sanāksmes laikā tika rasts risinājums un precizēts likumprojekts.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(LVCA - 07.11.2024.)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11.panta 5.</w:t>
            </w:r>
            <w:r w:rsidR="00000000" w:rsidRPr="00000000" w:rsidDel="00000000">
              <w:rPr>
                <w:vertAlign w:val="superscript"/>
                <w:rtl w:val="0"/>
              </w:rPr>
              <w:t xml:space="preserve">1</w:t>
            </w:r>
            <w:r w:rsidR="00000000" w:rsidRPr="00000000" w:rsidDel="00000000">
              <w:rPr>
                <w:rtl w:val="0"/>
              </w:rPr>
              <w:t xml:space="preserve"> daļas 2.punkts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(precizējot to ar Likumprojektu) ir noteikta fiksētā daļa, bet mainīgā daļa tiek regulēta Noteikumu līmenī. LVCA atbalsta šādu pieeju, tomēr vēlas norādīt, ka, tā kā atskaites indeksu noteikšana deleģēta Noteikumu regulējumam, tad, lai saglabātu konsekventu tiesību normu hierarhiju šajā jautājumā, arī indeksu kombinācijas būtu regulējama tikai Noteikumu līmenī. Tāpat arī Likuma regulējuma līmenī jāsaglabā vispārīga pieeja, jo mainoties tirgus tendencēm var tikt izstrādāti indeksi, kas nav tikai parāda un kapitāla vērtspapīru indeksi, līdz ar to, nosakot, ka indeksi un indeksu kombinācijas tiek regulētas Noteikumu līmenī, tiek saglabāts esošais princips, bet netiek iekļauti ierobežojumi attiecībā uz indeksu kombinācijām un jaunu indeksu veidu ieviešanu.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11.panta 5.1 daļas 2.punktu precizēt (svītrojot punktā ietverto regulējumu attiecībā uz atskaites indeksu noteikšanu - kurš tiek noteikts kā parāda vērtspapīru un kapitāla vērtspapīru indeksu kombinācija, lai to regulētu tikai Noteikumu līmenī – kā tas jau faktiski šobrīd ir aktuālajā Noteikumu redakcijā), un izteikt to sekojošā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maksājuma mainīgā daļa, kas ir atlīdzība fondēto pensiju shēmas līdzekļu pārvaldītājam par ieguldījumu plāna darbības rezultātu, un tās apmērs ir atkarīgs no ieguldījumu plāna ienesīguma pārsnieguma virs atskaites indeksa. Piemērojamos atskaites indeksus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fondēto pensiju likuma 11. panta 5.</w:t>
            </w:r>
            <w:r w:rsidR="00000000" w:rsidRPr="00000000" w:rsidDel="00000000">
              <w:rPr>
                <w:vertAlign w:val="superscript"/>
                <w:rtl w:val="0"/>
              </w:rPr>
              <w:t xml:space="preserve">1</w:t>
            </w:r>
            <w:r w:rsidR="00000000" w:rsidRPr="00000000" w:rsidDel="00000000">
              <w:rPr>
                <w:rtl w:val="0"/>
              </w:rPr>
              <w:t xml:space="preserve"> daļas 2. punkts paredz vispārīgu skaidrojumu attiecībā uz maksājuma mainīgo daļu, savukārt maksājuma mainīgās daļas detalizētus un specifiskos noteikumus paredz Ministru kabineta noteikumi, proti, minētais punkts kopumā ir jālasa kā deleģējums Ministru kabinetam izdot Ministru kabineta noteikumus. Deleģējums Ministru kabinetam izdot noteikumus ir jāveido, nosakot noteikumu satura galveno virzienu aprakstu, tai skaitā, atskaites indeksu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Likumam ir skaidri jānosaka līdzekļu pārvaldītājam pienākošās atlīdzības pamatprincipi, savukārt, Ministru kabineta noteikumiem detalizētāk jāreglamentē un jāskaidro šīs atlīdzības veidi, sastāvs, specifiskie nosacījumi un aprēķina kārtība. Maksājuma mainīgās daļas atkarība no pensiju plāna ienesīguma pārsnieguma virs atskaites indeksa, kā arī tas, ka atskaites indekss tiek noteikts kā parāda vērtspapīru un kapitāla vērtspapīru indeksu kombinācijas, ir pārvaldītājam pienākošās maksājuma mainīgās daļas veidošanas pamatprincipi, kuri, pamatojoties uz izklāstīto, ir iekļauti Likumā jau šobrīd, tāpēc netiek saskatīts pamatojumu šādu izmaiņu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w:t>
            </w:r>
            <w:r w:rsidR="00000000" w:rsidRPr="00000000" w:rsidDel="00000000">
              <w:rPr>
                <w:vertAlign w:val="superscript"/>
                <w:rtl w:val="0"/>
              </w:rPr>
              <w:t xml:space="preserve">1</w:t>
            </w:r>
            <w:r w:rsidR="00000000" w:rsidRPr="00000000" w:rsidDel="00000000">
              <w:rPr>
                <w:rtl w:val="0"/>
              </w:rPr>
              <w:t xml:space="preserve">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(LVCA - 28.11.2024.)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un Noteikumu projekts paredz lielo līdzekļu pārvaldītāju atlīdzības samazināšanu. Šāds priekšlikums stimulēs pensiju pārvaldniekus samazināt savas darbības izmaksas un izvēlēties ieguldījumus ārvalstu finanšu instrumentos, kas ir viegli pieejami un kuru transakciju izmaksas ir zemas (ieguldījumi Latvijā prasa lielākus darbaspēka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finanšu resursus kā līdzvērtīgi ieguldījumi, piemēram, ASV vai Lielbritānijā kotētos finanšu instrumentos). Rezultātā tiks sekmēta vēl lielāka kapitāla aizplūde no Latvijas, pretēji pensiju plānu dalībnieku ilgtermiņa interesēm. Ir veicināma līdzekļu ieguldīšana MVU un tādos Alternatīvo Ieguldījumu Fondos (AIF), kuru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parakstītais kapitāls nepārsniedz EUR 500. Līdz ar to LVCA ierosina Likumā un Noteikumos ieviest samērīgus motivējošus mehānismus, kas mudinātu pārvaldītājus izskatīt un izmantot ieguldījumu iespējas arī tādos kapitāla tirgus segmentos un instrumentos, kas ietver augstākas izvērtēšanas un uzraudzības izmaksas, bet 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būtisku tiešu un netiešu (multiplicējošu) pozitīvu efektu vietējās ekonomikas attīstībai.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11.panta 5.1 daļas 1.pantu ar punktu (e) šādā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līdzekļu pārvaldītājam ir tiesības palielināt maksimālo pastāvīgo komisijas maksu kā tas paredzēts šī panta punktos (a)-(d) proporcionāli ieguldījuma plāna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iepriekšējā gada vidējam īpatsvaram tiešos ieguldījumos parāda un kapitāla vērtspapīros, kas ieguldīti MVU, un tādos Alternatīvo Ieguldījumu Fondos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(AIF), kuru parakstītais kapitāls nepārsniedz EUR 500 000 000 (AIF ieguldījumu īpatsvars tiek mērīts pēc parakstītā kapitāla). Par katru īpatsvara procentpunktu atbilstošos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ieguldījumos, pārvaldītājs ir tiesīgs palielināt maksimālo pastāvīgo komisijas maksas aprēķlināto apmēru par vienu procentu no tā, kas noteikts saskaņā ar šī panta punktiem (a)-(d), bet ne vairāk kā par 25% kopā”.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Sanāksmes laikā tika rasts risinājums un precizēts likumprojekts.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w:t>
            </w:r>
            <w:r w:rsidR="00000000" w:rsidRPr="00000000" w:rsidDel="00000000">
              <w:rPr>
                <w:vertAlign w:val="superscript"/>
                <w:rtl w:val="0"/>
              </w:rPr>
              <w:t xml:space="preserve">1</w:t>
            </w:r>
            <w:r w:rsidR="00000000" w:rsidRPr="00000000" w:rsidDel="00000000">
              <w:rPr>
                <w:rtl w:val="0"/>
              </w:rPr>
              <w:t xml:space="preserve">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5.</w:t>
            </w:r>
            <w:r w:rsidR="00000000" w:rsidRPr="00000000" w:rsidDel="00000000">
              <w:rPr>
                <w:vertAlign w:val="superscript"/>
                <w:rtl w:val="0"/>
              </w:rPr>
              <w:t xml:space="preserve">1</w:t>
            </w:r>
            <w:r w:rsidR="00000000" w:rsidRPr="00000000" w:rsidDel="00000000">
              <w:rPr>
                <w:rtl w:val="0"/>
              </w:rPr>
              <w:t xml:space="preserve"> daļas ievaddaļu un 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Fondēto pensiju shēmas līdzekļu pārvaldītājam maksājumu par ieguldījumu plāna pārvaldi veido: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maksājuma pastāvīgā daļa, kas ietver maksājumus līdzekļu pārvaldītājam, līdzekļu turētājam, kā arī maksājumus trešajām personām, kurus veic no ieguldījumu plāna līdzekļiem, izņemot šīs daļas 3. punktā minētās darījuma izmaksas. Maksājuma pastāvīgā daļa nedrīkst pārsniegt vidējo svērto no šī punkta “a” un “b” apakšpunktā noteiktajiem ierobežojumiem katrai pārvaldītāja ieguldījumu plānu kopsummas daļai, kāda tā bija iepriekšējā gada 30. novembrī,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ierobežojums par ieguldījumu plānu kopsummas daļu, kas nepārsniedz 100 miljonus </w:t>
            </w:r>
            <w:r w:rsidR="00000000" w:rsidRPr="00000000" w:rsidDel="00000000">
              <w:rPr>
                <w:i w:val="1"/>
                <w:rtl w:val="0"/>
              </w:rPr>
              <w:t xml:space="preserve">euro</w:t>
            </w:r>
            <w:r w:rsidR="00000000" w:rsidRPr="00000000" w:rsidDel="00000000">
              <w:rPr>
                <w:rtl w:val="0"/>
              </w:rPr>
              <w:t xml:space="preserve">, ir 0,6 procenti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par katru nākamo pārvaldītāja ieguldījumu plānu kopsummas daļu ar soli 100 miljonu </w:t>
            </w:r>
            <w:r w:rsidR="00000000" w:rsidRPr="00000000" w:rsidDel="00000000">
              <w:rPr>
                <w:i w:val="1"/>
                <w:rtl w:val="0"/>
              </w:rPr>
              <w:t xml:space="preserve">euro</w:t>
            </w:r>
            <w:r w:rsidR="00000000" w:rsidRPr="00000000" w:rsidDel="00000000">
              <w:rPr>
                <w:rtl w:val="0"/>
              </w:rPr>
              <w:t xml:space="preserve"> šā punkta "a" apakšpunktā minēto ierobežojumu secīgi samazina par 7,5 procentiem līdz tas sasniedz 0,2 procentus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- 31.07.2024.)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papildināt  piedāvāto 11. panta izmaiņu regulējumu - </w:t>
            </w:r>
            <w:r w:rsidR="00000000" w:rsidRPr="00000000" w:rsidDel="00000000">
              <w:rPr>
                <w:u w:val="single"/>
                <w:rtl w:val="0"/>
              </w:rPr>
              <w:t xml:space="preserve">maksājumus līdzekļu turētājam izdalot atsevišķi</w:t>
            </w:r>
            <w:r w:rsidR="00000000" w:rsidRPr="00000000" w:rsidDel="00000000">
              <w:rPr>
                <w:rtl w:val="0"/>
              </w:rPr>
              <w:t xml:space="preserve">, jo līdzekļu pārvaldītājs nevar atbildēt par citu juridisko organizāciju cenošanas politiku. Atbilstoši piedāvātajiem administrācijas maksu griestiem turētājbankas izmaksas var sasniegt pat 50% no līdzekļu pārvaldītāja ienākumiem un radīt neparedzētus finansiālus riskus līdzekļu pārvaldītāja finanšu stabilitātei. Atbilstoši pastāvošajam regulējumam kā līdzekļu turētājs pensiju 2. līmeņa fondiem varbūt tikai atbilstošas atļaujas saņēmusi finanšu iestādi, kas būtiski ietekmē tirgus konkurenci, kuru Latvijas Banka neregulē. Ir nekorekti šādu risku attiecināt uz regulētu finanšu tirgus dalībnieku vienlaicīgi nosakot ieņēmumu griestus.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Maksājumus līdzekļu turētājam nevar atdalīt no maksājumu pastāvīgās daļas, jo Valsts fondēto pensiju shēmas līdzekļu pārvaldītājiem (turpmāk – līdzekļu pārvaldītāji) ir uzticēts rīkoties ar fondēto pensiju shēmas līdzekļiem klienta vārdā kā gādīgam un rūpīgam saimniekam (līdzekļu pārvaldītāja-klienta interešu saite), tai skaitā nodrošinot labāko darījumu izpildi, līdzekļu turēšanas pakalpojumu un citas ar pārvaldīšanu saistītās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minēto izdevumu atdalīšana padarītu vājāku šo līdzekļu pārvaldītāja-klienta interešu saiti, un, otrkārt, samazinātu līdzekļu pārvaldītāja funkciju klāstu, kā rezultātā par to pienākošos atlīdzību.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Līdzekļu turētāja komisijas izdalīšana atsevišķi no maksājumu patstāvīgās daļas nebūtu atbalstāma, jo Valsts fondēto pensiju shēmas līdzekļu pārvaldīšana sevī ietver arī atbilstošu līdzekļu turētāja izvēli, proti, līdzekļu pārvaldītājs rīkojas kā gādīgs un rūpīgs saimnieks un vienīgi ieguldījumu plāna dalībnieku interesēs […], kā to paredz Valsts fondēto pensiju likuma 12. panta pirmā daļa. Tāpat uzsveram, ka piedāvājums izdalīt atsevišķi līdzekļa turētāja komisiju no maksājumu patstāvīgās daļas paredz būtiskas izmaiņas komisiju ieturēšanā, proti, piedāvājums paredz līdzšinējo maksājuma pastāvīgo daļu un maksājuma mainīgo daļu aizstāt ar maksājuma pastāvīgo daļu, maksājuma mainīgo daļu un maksājumu līdzekļu turētājam. Piedāvājums ir pretrunā ar likumprojekta sākotnējo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11.pants nosaka prasības turētājam būt Latvijā reģistrētai bankai vai ES dalībvalstī reģistrētai bankas filiālei pamatojoties uz to, ka ir svarīgi aizsargāt VFPS līdzekļus turētājbankas maksātnespējas gadījumā, kā to paredz Kredītiestāžu likuma 172.pants. Ar mērķi novērtēt šo risku un noteikto regulatīvo prasību samērīgumu, Latvijas Banka 2025.gadā izanalizēs līdzekļu pārvaldītāju un turētājbanku sadarbības modeļus un to risku pārvaldību un izmaiņu iespējamības gadījumā sagatavos priekšlikumus regulatīvo prasību izmaiņām.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5.</w:t>
            </w:r>
            <w:r w:rsidR="00000000" w:rsidRPr="00000000" w:rsidDel="00000000">
              <w:rPr>
                <w:vertAlign w:val="superscript"/>
                <w:rtl w:val="0"/>
              </w:rPr>
              <w:t xml:space="preserve">1</w:t>
            </w:r>
            <w:r w:rsidR="00000000" w:rsidRPr="00000000" w:rsidDel="00000000">
              <w:rPr>
                <w:rtl w:val="0"/>
              </w:rPr>
              <w:t xml:space="preserve"> daļas ievaddaļu un 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Fondēto pensiju shēmas līdzekļu pārvaldītājam maksājumu par ieguldījumu plāna pārvaldi veido: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maksājuma pastāvīgā daļa, kas ietver maksājumus līdzekļu pārvaldītājam, līdzekļu turētājam, kā arī maksājumus trešajām personām, kurus veic no ieguldījumu plāna līdzekļiem, izņemot šīs daļas 3. punktā minētās darījuma izmaksas. Maksājuma pastāvīgā daļa nedrīkst pārsniegt vidējo svērto no šī punkta “a” un “b” apakšpunktā noteiktajiem ierobežojumiem katrai pārvaldītāja ieguldījumu plānu kopsummas daļai, kāda tā bija iepriekšējā gada 31. oktobrī,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ierobežojums par ieguldījumu plānu kopsummas daļu, kas nepārsniedz 100 miljonus </w:t>
            </w:r>
            <w:r w:rsidR="00000000" w:rsidRPr="00000000" w:rsidDel="00000000">
              <w:rPr>
                <w:i w:val="1"/>
                <w:rtl w:val="0"/>
              </w:rPr>
              <w:t xml:space="preserve">euro</w:t>
            </w:r>
            <w:r w:rsidR="00000000" w:rsidRPr="00000000" w:rsidDel="00000000">
              <w:rPr>
                <w:rtl w:val="0"/>
              </w:rPr>
              <w:t xml:space="preserve">, ir 0,6 procenti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par katru nākamo pārvaldītāja ieguldījumu plānu kopsummas daļu ar soli 100 miljonu </w:t>
            </w:r>
            <w:r w:rsidR="00000000" w:rsidRPr="00000000" w:rsidDel="00000000">
              <w:rPr>
                <w:i w:val="1"/>
                <w:rtl w:val="0"/>
              </w:rPr>
              <w:t xml:space="preserve">euro</w:t>
            </w:r>
            <w:r w:rsidR="00000000" w:rsidRPr="00000000" w:rsidDel="00000000">
              <w:rPr>
                <w:rtl w:val="0"/>
              </w:rPr>
              <w:t xml:space="preserve"> šā punkta "a" apakšpunktā minēto ierobežojumu secīgi samazina par 7,5 procentiem līdz tas sasniedz 0,2 procentus gadā.”;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- 27.11.2024.)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likumprojekta 5.pantā iekļauto grozījumu Valsts fondēto pensiju likuma 11.</w:t>
            </w:r>
            <w:r w:rsidR="00000000" w:rsidRPr="00000000" w:rsidDel="00000000">
              <w:rPr>
                <w:vertAlign w:val="superscript"/>
                <w:rtl w:val="0"/>
              </w:rPr>
              <w:t xml:space="preserve">4</w:t>
            </w:r>
            <w:r w:rsidR="00000000" w:rsidRPr="00000000" w:rsidDel="00000000">
              <w:rPr>
                <w:rtl w:val="0"/>
              </w:rPr>
              <w:t xml:space="preserve"> panta ceturtajā daļā redakciju, svītrojot vārdus "portālā latvija.gov.lv", ņemot vērā, ka oficiālā elektroniskā adrese ir atsevišķa informācijas sistēma un portāls latvija.gov.lv ir tikai viens no veidiem, kā var tikt piegādāti ziņojumi uz oficiālo elektronisko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likumprojekta pārejas noteikumus ar spēkā stāšanās termiņu grozījumiem Valsts fondēto pensiju likuma 11.</w:t>
            </w:r>
            <w:r w:rsidR="00000000" w:rsidRPr="00000000" w:rsidDel="00000000">
              <w:rPr>
                <w:vertAlign w:val="superscript"/>
                <w:rtl w:val="0"/>
              </w:rPr>
              <w:t xml:space="preserve">4 </w:t>
            </w:r>
            <w:r w:rsidR="00000000" w:rsidRPr="00000000" w:rsidDel="00000000">
              <w:rPr>
                <w:rtl w:val="0"/>
              </w:rPr>
              <w:t xml:space="preserve">pantā ceturtajā daļā, ņemot vērā, ka šobrīd Oficiālās elektroniskās adreses likums neparedz izmantot oficiālo elektronisko adresi saziņai starp privātpersonām un uz 2025. gada 1. aprīli varētu nebūt pieejams tehniskais risinājums, lai nodrošinātu šādu saziņu. Attiecīgie grozījumi Oficiālās elektroniskās adreses likumā (Likumprojekts Grozījumi Oficiālās elektroniskās adreses likumā 22-TA-2831) šobrīd nodoti publiskajai apspriešanai.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11.</w:t>
            </w:r>
            <w:r w:rsidR="00000000" w:rsidRPr="00000000" w:rsidDel="00000000">
              <w:rPr>
                <w:vertAlign w:val="superscript"/>
                <w:rtl w:val="0"/>
              </w:rPr>
              <w:t xml:space="preserve">4</w:t>
            </w:r>
            <w:r w:rsidR="00000000" w:rsidRPr="00000000" w:rsidDel="00000000">
              <w:rPr>
                <w:rtl w:val="0"/>
              </w:rPr>
              <w:t xml:space="preserve"> panta ceturtajā daļā vārdus “portālā www.latvija.lv atbilstoši tajā izveidotajām informācijas nosūtīšanas iespējām un” ar vārdiem “uz oficiālo elektronisko adresi, ja adresātam ir aktivizēts oficiālās elektroniskās adreses konts, un”.</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 un iekļauta pārejas norma.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(LVCA - 11.02.2025.)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bijušas neskaitāmas sarunas ar valsts sektoru, kurās idejiski piekrīt tam, ka ieguldīšanu Latvijā būtu jāstimulē, taču īsti neatbalsta mūsu priekšlikumu, bet arī nenāk klajā ar savu piedāvājumu kā to panākt. Pašlaik paliekam pie redzējuma, ka jānosaka 20% ieguldīšana Latvijā kā mērķis. LVCA uzskata, ka šāds mērķis būtu pakāpeniski sasniedzams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izstrādājot vēlamo (nesaistošu) nacionālo ieguldījumu apjomu un paplašinot informēšanas pienākumu.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 informēšanas pienākuma ieviešana veicinātu pensiju plānu pārvaldniekus izvērtēt iespējas izvietot ieguldījumus nacionālā līmenī, tas būtu efektīvs kritērijs pensiju plānu dalībniekiem ieguldījumu plānu salīdzināšanā, kā arī sniegtu efektīvu informāciju likumdevējam par nepieciešamo rīcību, lai sekmētu Latvijas kapitāla tirgus pievilcību.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Likuma 12.3 panta 2.punktu sekojošā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gada pārskatā tiek norādīti plānotie mērķi un sasniegtie rezultāti par fondēto pensiju shēmas līdzekļu ieguldīšanu Latvijā, kā arī informācija par to, vai vismaz 20% no ieguldījumu plāna līdzekļiem ir ieguldīti Latvijas Republikā, un, ja ir ieguldīts mazāks apjoms, tad izvērstu skaidrojumu par iemesliem vai šķēršļiem, kas liedzis veikt ieguldījumus vismaz 20% apmērā.”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novērtētu ieguldījumu Latvijā ietekmi uz valsts ekonomiku un Valsts fondēto pensiju shēmas dalībnieku pensijas kapitāla ienesīgumu, sanāksmes laikā dalībnieki vienojās par iespējamo diskusijas organizēšanu saistībā ar ieguldījumu Latvijā ietekmi uz valsts ekonomiku un Valsts fondēto pensiju shēmas dalībnieku pensijas kapitāla ienesīgumu pēc Latvijas Bankas pētījuma noslēguma.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(LVCA - 28.11.2024.)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radītu priekšnoteikumus sekmīgu ieguldījumu veikšanai Latvijā un nodrošinātu Latvijas kapitāla tirgus tālāku attīstību, paturot prātā, ka nav pieļaujama tiešu nesamērīgu ierobežojumu uzlikšana brīvai kapitāla apritei. LVCA uzskata, ka šāds mērķis būtu pakāpeniski sasniedzams izstrādājot vēlamo (nesaistošu) nacionālo ieguldījumu apjomu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paplašinot informēšanas pienākumu.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12.3 panta 2.punktu sekojošā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gada pārskatā tiek norādīti plānotie mērķi un sasniegtie rezultāti par fondēto pensiju shēmas līdzekļu ieguldīšanu Latvijā, kā arī informācija par to, vai vismaz 20% no ieguldījumu plāna līdzekļiem ir ieguldīti Latvijas Republikā, un, ja ir ieguldīts mazāks apjoms, tad izvērstu skaidrojumu par iemesliem vai šķēršļiem, kas liedzis veikt ieguldījumus vismaz 20% apmērā.”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 informēšanas pienākuma ieviešana veicinātu pensiju plānu pārvaldniekus izvērtēt iespējas izvietot ieguldījumus nacionālā līmenī, tas būtu efektīvs kritērijs pensiju plānu dalībniekiem ieguldījumu plānu salīdzināšanā, kā arī sniegtu efektīvu informāciju likumdevējam par nepieciešamo rīcību, lai sekmētu Latvijas kapitāla tirgus pievilcību.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novērtētu ieguldījumu Latvijā ietekmi uz valsts ekonomiku un Valsts fondēto pensiju shēmas dalībnieku pensijas kapitāla ienesīgumu, sanāksmes laikā dalībnieki vienojās par iespējamo diskusijas organizēšanu saistībā ar ieguldījumu Latvijā ietekmi uz valsts ekonomiku un Valsts fondēto pensiju shēmas dalībnieku pensijas kapitāla ienesīgumu pēc Latvijas Bankas pētījuma noslēguma.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(LVCA - 07.11.2024.)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Vienlaicīgi ar fondēto pensiju shēmas līdzekļu pārvaldītāju atlīdzības samazināšanu, kā to paredz Likumprojekts un Noteikumu projekts, būtu nepieciešama arī Likuma 12.</w:t>
            </w:r>
            <w:r w:rsidR="00000000" w:rsidRPr="00000000" w:rsidDel="00000000">
              <w:rPr>
                <w:vertAlign w:val="superscript"/>
                <w:rtl w:val="0"/>
              </w:rPr>
              <w:t xml:space="preserve">3</w:t>
            </w:r>
            <w:r w:rsidR="00000000" w:rsidRPr="00000000" w:rsidDel="00000000">
              <w:rPr>
                <w:rtl w:val="0"/>
              </w:rPr>
              <w:t xml:space="preserve"> panta turpmāka, pārdomāta attīstība, lai radītu priekšnoteikumus sekmīgu ieguldījumu veikšanai Latvijā un nodrošinātu Latvijas kapitāla tirgus tālāku attīstību, paturot prātā, ka nav pieļaujama tiešu nesamērīgu ierobežojumu uzlikšana brīvai kapitāla apritei. LVCA uzskata, ka šāds mērķis būtu pakāpeniski sasniedzams izstrādājot vēlamo (nesaistošu)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nacionālo ieguldījumu apjomu un paplašinot informēšanas pienākumu.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 informēšanas pienākuma ieviešana veicinātu pensiju plānu pārvaldniekus izvērtēt iespējas izvietot ieguldījumus nacionālā līmenī, tas būtu efektīvs kritērijs pensiju plānu dalībniekiem ieguldījumu plānu salīdzināšanā, kā arī sniegtu efektīvu informāciju likumdevējam par nepieciešamo rīcību, lai sekmētu Latvijas kapitāla tirgus pievilcību.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12.3 panta 2.punktu sekojošā redakcijā: “2) gada pārskatā tiek norādīti plānotie mērķi un sasniegtie rezultāti par fondēto pensiju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shēmas līdzekļu ieguldīšanu Latvijā, kā arī informācija par to, vai vismaz 20% no ieguldījumu plāna līdzekļiem ir ieguldīti Latvijas Republikā, un, ja ir ieguldīts mazāks apjoms, tad izvērstu skaidrojumu par iemesliem vai šķēršļiem, kas liedzis veikt ieguldījumus vismaz 20% apmērā.”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novērtētu ieguldījumu Latvijā ietekmi uz valsts ekonomiku un Valsts fondēto pensiju shēmas dalībnieku pensijas kapitāla ienesīgumu, sanāksmes laikā dalībnieki vienojās par iespējamo diskusijas organizēšanu saistībā ar ieguldījumu Latvijā ietekmi uz valsts ekonomiku un Valsts fondēto pensiju shēmas dalībnieku pensijas kapitāla ienesīgumu pēc Latvijas Bankas pētījuma noslēguma.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(LVCA - 30.07.2024.)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LVCA atbalsta nepieciešamību ieviest minimālās obligātās riska un interešu konflikta pārvaldības prasības AIFP, kas saņem pensiju plānu ieguldījumus.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LVCA uzskata, ka noteikt Regulu kā standartu risku pārvaldībai AIFP nav atbilstošs risinājums sekojošu iemeslu dēļ. Ar direktīvu par alternatīvo ieguldījumu pārvaldniekiem 2011/61/ES Eiropas Savienības līmenī ir noteikts zemāks administratīvo procedūru līmenis pārvaldniekiem, kuri pārvalda aktīvus, kas mazāki par 500 MEUR vai 100 MEUR gadījumos, kad tiek izmantots sviras finansējums (Direktīvas 3.pants). Dalībvalstīm ir tiesības noteikt augstākas prasības, bet Latvija līdzīgi kā vairums citu ES valstu AIF tirgus attīstības nolūkos ir pieturējusies pie šī principa, ieviešot licencēto un reģistrēto pārvaldnieku veidus, otro gadījumā - ar atvieglotām, to aktīviem atbilstošām prasībām. Tā rezultātā Regulas prasības šobrīd Latvijā attiecas tikai uz licencētiem pārvaldniekiem.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iecere attiecināt Regulas III nodaļas 3.iedaļu Riska pārvaldība arī uz reģistrētajiem pārvaldniekiem, kuros iegulda pensiju līdzekļus, radītu šādiem AIFP to izmēra dēļ neizpildāmas prasības, savukārt pensiju plāniem tiktu būtiski samazinātas iespējas investēt Latvijā ar šādu pasīvu instrumentu palīdzību. Papildus jāapzinās, ka pensiju plānu pārvaldnieku ieguldījumi nozarē pēc attīstības institūciju (Altum, EIF, EBRD) ieguldījumiem tai ir nākamais nozīmīgākais avots. Tāpat jāņem vērā, ka pensiju plāni iegulda ne tikai Latvijas AIFos, bet arī ārvalstu, kuriem tāpat vismaz atsevišķos gadījumos Regulas prasību izpilde varētu būt neiespējama.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 alternatīvu obligātās riska pārvaldības prasībās AIFP, kas saņem ieguldījumus no pensiju plāniem, LVCA piedāvā Likumā iekļaut pilnvarojumu Latvijas Bankai izstrādāt ieteikumus fondēto pensiju fondu pārvaldniekiem par ieguldīšanu AIF vai iekļaut tos Likuma tekstā. Ierosinām par pamatu šiem ieteikumiem izmantot LVCA un Finanšu nozares asociācijas kopīgi izstrādātās un LB piedāvātās vadlīnijas pensiju pārvaldniekiem ieguldījumu AIF gadījumiem.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VFPS līdzekļu ieguldījumi ir ilgtermiņa ieguldījumi, kas tiek veikti t. sk. ar alternatīvo ieguldījumu fondu (turpmāk – AIF) starpniecību, kuri var būt arī reģistrēti (nevis licencēti) AIF pārvaldnieki ar normatīvajos aktos paredzētām zemākām darbību regulējošām prasībām, piedāvātie Likuma grozījumi paredz VFPS līdzekļu pārvaldītāja pienākumu vērtēt AIF pārvaldnieka rīcību ieguldītāju interesēs gan ieguldījuma veikšanas brīdī, gan VFPS līdzekļu pārvaldniekam uzņemoties līgumisku atbildību par turpmākajiem ieguldījumiem attiecīgajā alternatīvo ieguldījumu fondā, un gūt pārliecību par to, ka AIF pārvaldnieks ir izveidojis un uztur tā darbības specifikai atbilstošu risku, t. sk. interešu konfliktu risku pārvaldības sistēmu. Pārliecības gūšana par to, ka, piemēram, reģistrēts alternatīvo ieguldījumu fondu pārvaldnieks ir izveidojis interešu konflikta pārvaldību būtu labā prakse un tieši atbilstu Valsts fondēto pensiju likuma 12. panta pirmā daļai.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sakarā tiek piedāvāts pārskatīt Likuma 12.panta pirmās daļas 5.</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Likuma 12. pantā:</w:t>
            </w:r>
            <w:r w:rsidR="00000000" w:rsidRPr="00000000" w:rsidDel="00000000">
              <w:rPr>
                <w:b w:val="1"/>
                <w:rtl w:val="0"/>
              </w:rPr>
              <w:t xml:space="preserve">papildināt pirmās daļas 5.</w:t>
            </w:r>
            <w:r w:rsidR="00000000" w:rsidRPr="00000000" w:rsidDel="00000000">
              <w:rPr>
                <w:b w:val="1"/>
                <w:vertAlign w:val="superscript"/>
                <w:rtl w:val="0"/>
              </w:rPr>
              <w:t xml:space="preserve">1</w:t>
            </w:r>
            <w:r w:rsidR="00000000" w:rsidRPr="00000000" w:rsidDel="00000000">
              <w:rPr>
                <w:b w:val="1"/>
                <w:rtl w:val="0"/>
              </w:rPr>
              <w:t xml:space="preserve"> punktu ar vārdiem "ja fondēto pensiju shēmas līdzekļu pārvaldītājs risku pārvaldības politikas ietvaros pārliecinās par to, ka esošie un turpmākie ieguldījumi alternatīvo ieguldījumu fondos atbilst ieguldījumu plāna dalībnieku interesēm, tai skaitā, ka alternatīvo ieguldījumu fonda pārvaldnieks ir izveidojis un uztur tā darbības specifikai atbilstošu risku un interešu konfliktu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Līdzekļu pārvaldītāja pienākums rīkoties ar ieguldījumu plāna līdzekļiem kā rūpīgam un gādīgam saimniekam ir nosacījums, kas izriet no personu tiesībām uz īpašumu, tāpēc attiecas uz VFPS līdzekļu pārvaldītāju kā uz jebkuru citu personu, kurai pilnībā vai daļēji uzticēti pārvaldītāja uzdevumi. Tas attiecas arī uz gadījumiem, kad VFPS līdzekļu pārvaldītājs uztic pārvaldīt citai personai daļu no ieguldījumu plānu līdzekļiem, jo pārvaldītāja uzdevumu pilnīga vai daļēja nodošana citai personai neatbrīvo viņu no pienākuma rīkoties kā gādīgam un rūpīgam saimniekam.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Viedoklis par ieteikumiem: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Ieteikumu vai vadlīniju esamība neatrisinās galveno problemātiku - izvērtēt katru ieguldīšanas gadījumu individuāli.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 uzskata, ka vadlīniju izstrāde kādam no daudziem ieguldījumu veidiem (turklāt, iespējams, kas ieguldījumu plānu portfeļos nav būtiskākais), nav lietderīgi. Latvijas Banka neiebilst, ka nozares pārstāvju izstrādā, ievieš un uztur labākās prakses standartus, tomēr uzskata, ka attiecībā uz līdzdalību to izstrādē būtu jāsaglabā neitralitāte (informēšanas līmenī), lai uzraudzības pasākumu piemērošanu balstītu uz likumdošanā noteiktajām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sakarā no anotācijas tiek svītrots attiecīgais teksts par Latvijas Bankas ieteikumiem.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pirmās daļas 5.</w:t>
            </w:r>
            <w:r w:rsidR="00000000" w:rsidRPr="00000000" w:rsidDel="00000000">
              <w:rPr>
                <w:vertAlign w:val="superscript"/>
                <w:rtl w:val="0"/>
              </w:rPr>
              <w:t xml:space="preserve">1</w:t>
            </w:r>
            <w:r w:rsidR="00000000" w:rsidRPr="00000000" w:rsidDel="00000000">
              <w:rPr>
                <w:rtl w:val="0"/>
              </w:rPr>
              <w:t xml:space="preserve"> punktu ar vārdiem "ja fondēto pensiju shēmas līdzekļu pārvaldītājs ir guvis pārliecību, ka alternatīvo ieguldījumu fondu pārvaldnieks ir izveidojis un uztur tādu risku pārvaldības sistēmu un interešu konfliktu pārvaldību, kas atbilst vismaz Eiropas Komisijas 2012. gada 19. decembra deleģētajā regulā Nr. 231/2013, ar ko papildina Eiropas Parlamenta un Padomes direktīvu 2011/61/ES attiecībā uz atbrīvojumiem, vispārējiem darbības nosacījumiem, depozitārijiem, saistību īpatsvaru, pārskatāmību un uzraudzību (turpmāk — regula Nr. 231/2013)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- 31.07.2024.)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piekrīt par nepieciešamību izvērtēt alternatīvo ieguldījumu fondu risku pārvaldības sistēmu un atbalstam, piemēram, Latvijas Bankas piedāvājumu izstrādāt materiālu šāda procesa veikšanas ieteikumiem, taču būtiski šeit nepiekrītam atsaucei uz EK regulu. Pensiju fondu pārvaldnieks nevar būt atbildīgs par regulas ievērošanu alternatīvo ieguldījumu fondos. Pensiju pārvaldniekam nav tādu juridisku tiesību, lai noteiktu vai attiecīgais alternatīvo ieguldījumu fonds ir izpildījis regulas prasības vai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tas nepieciešams un lai veicinātu labāku rezultātu sasniegšanu, piedāvājam citu risinājumu -  Latvijas Banka var izdot, piemēram, ieteikumus vienotas korektas prakses 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mainīt un precizēt piedāvāto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VFPS līdzekļu ieguldījumi ir ilgtermiņa ieguldījumi, kas tiek veikti t. sk. ar alternatīvo ieguldījumu fondu (turpmāk – AIF) starpniecību, kuri var būt arī reģistrēti (nevis licencēti) AIF pārvaldnieki ar normatīvajos aktos paredzētām zemākām darbību regulējošām prasībām, piedāvātie Likuma grozījumi paredz VFPS līdzekļu pārvaldītāja pienākumu vērtēt AIF pārvaldnieka rīcību ieguldītāju interesēs gan ieguldījuma veikšanas brīdī, gan VFPS līdzekļu pārvaldniekam uzņemoties līgumisku atbildību par turpmākajiem ieguldījumiem attiecīgajā alternatīvo ieguldījumu fondā, un gūt pārliecību par to, ka AIF pārvaldnieks ir izveidojis un uztur tā darbības specifikai atbilstošu risku, t. sk. interešu konfliktu risku pārvaldības sistēmu. Pārliecības gūšana par to, ka, piemēram, reģistrēts alternatīvo ieguldījumu fondu pārvaldnieks ir izveidojis interešu konflikta pārvaldību būtu labā prakse un tieši atbilstu Valsts fondēto pensiju likuma 12. panta pirmā daļai.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sakarā tiek piedāvāts pārskatīt Likuma 12.panta pirmās daļas 5.</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Likuma 12.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papildināt pirmās daļas 5.</w:t>
            </w:r>
            <w:r w:rsidR="00000000" w:rsidRPr="00000000" w:rsidDel="00000000">
              <w:rPr>
                <w:b w:val="1"/>
                <w:vertAlign w:val="superscript"/>
                <w:rtl w:val="0"/>
              </w:rPr>
              <w:t xml:space="preserve">1</w:t>
            </w:r>
            <w:r w:rsidR="00000000" w:rsidRPr="00000000" w:rsidDel="00000000">
              <w:rPr>
                <w:b w:val="1"/>
                <w:rtl w:val="0"/>
              </w:rPr>
              <w:t xml:space="preserve"> punktu ar vārdiem "ja fondēto pensiju shēmas līdzekļu pārvaldītājs risku pārvaldības politikas ietvaros pārliecinās par to, ka esošie un turpmākie ieguldījumi alternatīvo ieguldījumu fondos atbilst ieguldījumu plāna dalībnieku interesēm, tai skaitā, ka alternatīvo ieguldījumu fonda pārvaldnieks ir izveidojis un uztur tā darbības specifikai atbilstošu risku un interešu konfliktu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Līdzekļu pārvaldītāja pienākums rīkoties ar ieguldījumu plāna līdzekļiem kā rūpīgam un gādīgam saimniekam ir nosacījums, kas izriet no personu tiesībām uz īpašumu, tāpēc attiecas uz VFPS līdzekļu pārvaldītāju kā uz jebkuru citu personu, kurai pilnībā vai daļēji uzticēti pārvaldītāja uzdevumi. Tas attiecas arī uz gadījumiem, kad VFPS līdzekļu pārvaldītājs uztic pārvaldīt citai personai daļu no ieguldījumu plānu līdzekļiem, jo pārvaldītāja uzdevumu pilnīga vai daļēja nodošana citai personai neatbrīvo viņu no pienākuma rīkoties kā gādīgam un rūpīgam saimniekam.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Viedoklis par ieteikumiem: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Ieteikumu vai vadlīniju esamība neatrisinās galveno problemātiku - izvērtēt katru ieguldīšanas gadījumu individuāli.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 uzskata, ka vadlīniju izstrāde kādam no daudziem ieguldījumu veidiem (turklāt, iespējams, kas ieguldījumu plānu portfeļos nav būtiskākais), nav lietderīgi. Latvijas Banka neiebilst, ka nozares pārstāvju izstrādā, ievieš un uztur labākās prakses standartus, tomēr uzskata, ka attiecībā uz līdzdalību to izstrādē būtu jāsaglabā neitralitāte (informēšanas līmenī), lai uzraudzības pasākumu piemērošanu balstītu uz likumdošanā noteiktajām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sakarā no anotācijas tiek svītrots attiecīgais teksts par Latvijas Bankas ieteikumiem.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pirmās daļas 5.</w:t>
            </w:r>
            <w:r w:rsidR="00000000" w:rsidRPr="00000000" w:rsidDel="00000000">
              <w:rPr>
                <w:vertAlign w:val="superscript"/>
                <w:rtl w:val="0"/>
              </w:rPr>
              <w:t xml:space="preserve">1</w:t>
            </w:r>
            <w:r w:rsidR="00000000" w:rsidRPr="00000000" w:rsidDel="00000000">
              <w:rPr>
                <w:rtl w:val="0"/>
              </w:rPr>
              <w:t xml:space="preserve"> punktu ar vārdiem "ja fondēto pensiju shēmas līdzekļu pārvaldītājs risku pārvaldības politikas ietvaros pārliecinās par to, ka esošie un turpmākie ieguldījumi alternatīvo ieguldījumu fondos atbilst ieguldījumu plāna dalībnieku interesēm, tai skaitā, ka alternatīvo ieguldījumu fonda pārvaldnieks ir izveidojis un uztur tā darbības specifikai atbilstošu risku un interešu konfliktu pārvaldību.";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2025. gada 1. aprīlī.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- 29.11.2024.)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gada 15. oktobra starpinstitūciju saskaņošanas sanāksmē panākta vienota izpratne un arī vienošanās, ka pārvaldītājiem ir nepieciešami 3 mēneši, lai sagatavotos paredzētajām izmaiņām ieviešanai pēc tam, kad likuma grozījumi izstrādāti un pieņemti Saeimā galīgajā lasījumā. Pēc tam likumprojektā attiecīgi iekļauts atbilstošs spēkā stāšanās nosacījums. Vienlaikus likumprojekta faktiskā virzība pašlaik jau atšķiras no starpinstitūciju saskaņošanas sanāksmē paustā par virzītāju paredzēto laika plānu (novirze pašlaik ir 1 - 2 mēn. pret sanāksmes laika pieņēmumu).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likuma grozījumu spēkā stāšanos laiku atbilstoši tam, lai pēc grozījumu eventuālās pieņemšanas Saeimā, izmaiņu ieviešanai laiks būtu 3 mēneši (atbilstoši 15.oktobra sanāksmē panāktai vienošanās).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stāšanās termiņš ir precizēts uz 2025. gada 1. jūniju.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2025. gada 1. jūnijā.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2025.gada 1.janvārī.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- 31.07.2024.)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izteikt norādi par likuma spēka stāšanos paredzot pienācīgu laika periodu (paredzot vismaz vienu gadu pēc pieņemšanas galīgajā lasījumā un izsludināšanas oficiālajā publikācijā, piemēram, 2026.gada 1.janvāris) regulējuma ieviešanai un rīcības pakārtošanai.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Ikvienam lēmumam, kas attiecas uz valsts un sabiedrības dzīvē nozīmīgu jautājumu, Satversme izvirza noteiktas procesuālas prasības, kas nodrošina lēmumu pieņemšanu atbilstoši demokrātiskas un tiesiskas valsts principiem (</w:t>
            </w:r>
            <w:r w:rsidR="00000000" w:rsidRPr="00000000" w:rsidDel="00000000">
              <w:rPr>
                <w:i w:val="1"/>
                <w:rtl w:val="0"/>
              </w:rPr>
              <w:t xml:space="preserve">sk. Satversmes tiesas 2012. gada 3. februāra sprieduma lietā Nr. 2011-11-01 11.2.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likumdošanas procesam jāatbilst normatīvajos aktos noteiktajām formālajām prasībām, kā arī jāveicina personu uzticēšanās valstij un tiesībām (</w:t>
            </w:r>
            <w:r w:rsidR="00000000" w:rsidRPr="00000000" w:rsidDel="00000000">
              <w:rPr>
                <w:i w:val="1"/>
                <w:rtl w:val="0"/>
              </w:rPr>
              <w:t xml:space="preserve">sk., piemēram, Satversmes tiesas 2018. gada 12. aprīļa sprieduma lietā Nr. 2017-17-01 21.3.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demokrātiskas tiesiskas valsts pamatnormas atvasinātais tiesiskas valsts princips ietver noteiktas prasības arī attiecībā uz likumdošanas procesu (</w:t>
            </w:r>
            <w:r w:rsidR="00000000" w:rsidRPr="00000000" w:rsidDel="00000000">
              <w:rPr>
                <w:i w:val="1"/>
                <w:rtl w:val="0"/>
              </w:rPr>
              <w:t xml:space="preserve">sk., piemēram, Satversmes tiesas 2012. gada 3. februāra sprieduma lietā Nr. 2011-11-01 11.2.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Labas likumdošanas principa ievērošana sekmē to, ka sabiedrībā veidojas pārliecība par pieņemto lēmumu tiesiskumu (</w:t>
            </w:r>
            <w:r w:rsidR="00000000" w:rsidRPr="00000000" w:rsidDel="00000000">
              <w:rPr>
                <w:i w:val="1"/>
                <w:rtl w:val="0"/>
              </w:rPr>
              <w:t xml:space="preserve">sk. Satversmes tiesas 2019. gada 23. aprīļa sprieduma lietā Nr. 2018-12-01 24.1.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pāreju uz jaunu tiesisko regulējum, labas likumdošanas princips uzliek likumdevējam pienākumu pārliecināties par to ietekmi uz jau pastāvošajām tiesiskajām attiecībām un nodrošināt personas un sabiedrības interešu mijiedarbību tieši pārejas periodā, kad personai ir jāpārkārto sava rīcība atbilstoši jaunajiem apstākļiem (</w:t>
            </w:r>
            <w:r w:rsidR="00000000" w:rsidRPr="00000000" w:rsidDel="00000000">
              <w:rPr>
                <w:i w:val="1"/>
                <w:rtl w:val="0"/>
              </w:rPr>
              <w:t xml:space="preserve">sk. Satversmes tiesas 2021. gada 5. marta sprieduma lietā Nr. 2020-30-01 15.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ieviešot būtiskas izmaiņas atbilstoši labas likumdošanas principam </w:t>
            </w:r>
            <w:r w:rsidR="00000000" w:rsidRPr="00000000" w:rsidDel="00000000">
              <w:rPr>
                <w:u w:val="single"/>
                <w:rtl w:val="0"/>
              </w:rPr>
              <w:t xml:space="preserve">ir jāparedz pienācīgs pārejas periods, lai tiesiskā regulējuma adresāti var pārkārtot un pielāgot savu rīcību.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Papildus pievēršam uzmanību, ka pārvaldītāji tieši pašlaik jau ievieš organizatoriski un finansiāli apjomīgas un nozīmīgas izmaiņas uzsākot saziņu ar dalībniekiem </w:t>
            </w:r>
            <w:r w:rsidR="00000000" w:rsidRPr="00000000" w:rsidDel="00000000">
              <w:rPr>
                <w:rtl w:val="0"/>
              </w:rPr>
              <w:t xml:space="preserve">(</w:t>
            </w:r>
            <w:r w:rsidR="00000000" w:rsidRPr="00000000" w:rsidDel="00000000">
              <w:rPr>
                <w:i w:val="1"/>
                <w:rtl w:val="0"/>
              </w:rPr>
              <w:t xml:space="preserve">skat., piemēram, https://lvportals.lv/skaidrojumi/365673-no-pensiju-2-limena-parvalditaja-sagaidams-ieteikums-mainit-ieguldijumu-planu-2024</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2024. gada 15. oktobra starpinstitūciju sanāksmē panākto vienošanos, ka līdzekļu pārvaldītājiem ir nepieciešami 3 mēneši, lai sagatavotos paredzētajām izmaiņām, likumprojekta spēkā stāšanās datums precizēts uz 2025. gada 1. aprīli.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2025. gada 1. jūnijā.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 - 29.11.2024.)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(turpmāk – KP) ir iepazinusies ar veiktajiem papildinājumiem anotācijā par grozījumiem Valsts fondēto pensiju likumā un paskaidro, ka atbalstāms ir papildinājums attiecībā uz plānoto grozījumu ietekmi uz konkurenci. Tomēr KP secina, ka likumprojekta anotācijā veiktā analīze neņem vērā investīcijas, kuras ir jāveic, lai tirgū ienāktu jauns valsts fondētās pensijas shēmas (turpmāk – VFPS) pārvaldītājs un tas sasniegtu pietiekamus apjomus uzņēmuma pelnītspējai. Līdz ar to rodas bažas par to vai ienākot jaunam tirgus dalībniekam tirgū, paredzētais komisiju mehānisms varēs tikt uzskatīts par pietiekami motivējošu, lai konkurētu ar jau esošajiem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atbalsta un uzskata, ka minētā regulējuma pilnveidošana ir būtiska, lai vairotu sabiedrības labklājību, taču ir nepieciešams vienlaikus nodrošināt pienācīgu un taisnīgu atlīdzību VFPS līdzekļu pārvaldītājiem. KP pirmšķietami secina, ka grozījumu ietekmē nākotnē var veidoties situācija, kas ilgtermiņā negatīvi varētu ietekmēt VFPS dalībniekus, ja jaunie tirgus dalībnieki atstātu tirgu un potenciālie konkurenti nesaskatītu par finansiāli izdevīgu ienākt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ir atbalstāms anotācijas papildinājums attiecībā uz turētājbanku komisijām. Tomēr KP secina, ka turētājbankas komisijas normatīvi nav fiksētas, tādēļ, vērtējot pārvaldīšanas komisiju samazinājuma ietekmi uz VFPS pārvaldītājiem, ir jāņem vērā arī konkurences apstākļi un cenu veidošanas mehānismi turētājbankas pakalpojumu tirgū. KP paskaidro, ka samazinot ieņēmumus, no vienas puses, un palielinot izdevumus vai atstājot tos nemainīgus, no otras puses, pastāv iespējamība, ka tas kavē jaunu tirgus dalībnieku ienākšanu tirgū vai pat esošam tirgus dalībniekam būs jāatstāj tirgus, kurā tas īsteno savu uzņēmējdarbību, ņemot vērā, ka īstenotā uzņēmējdarbība rezultējas zaudējumos vai tādā peļņas apmērā, kas vairs nav rentabls un nav samērīgs pretstatā tirgus dalībnieka reālajām izmaksām un sākotnējām investīcijām.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KP aicina atbildīgo komisiju izvērtēt, vai konkrētajā situācijā Likumprojekta mērķi nevar sasniegt ar citiem, mazāk konkurenci ierobežojošiem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Skaidrojumu par konkurenci skat.izziņas 22. un 23. punktā kā arī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 - 14.02.2025.)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(turpmāk – KP) ir iepazinusies ar veiktajiem papildinājumiem anotācijā par grozījumiem Valsts fondēto pensiju likumā. Atbalstāms ir anotācijā ietvertais skaidrojums attiecībā uz plānoto grozījumu ietekmi uz konkurenci. Tomēr KP secina, ka likumprojekta anotācijā veiktā analīze vēl aizvien neņem vērā investīcijas, kuras ir jāveic, lai tirgū ienāktu jauns valsts fondētās pensijas shēmas (turpmāk – VFPS) pārvaldītājs un tas sasniegtu pietiekamus apjomus uzņēmuma pelnītspējai. Līdz ar to rodas pamatotas bažas, vai, ienākot jaunam tirgus dalībniekam tirgū, paredzētais komisiju mehānisms varēs tikt uzskatīts par pietiekami motivējošu, lai konkurētu ar jau esošajiem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atbalsta un uzskata, ka minētā regulējuma pilnveidošana ir būtiska, lai vairotu sabiedrības labklājību. Taču ir nepieciešams vienlaikus nodrošināt pienācīgu un taisnīgu atlīdzību VFPS līdzekļu pārvaldītājiem. KP pirmšķietami secina, ka grozījumi, ar kuriem bez ietekmes uz konkurenci izvērtējuma maksājuma patstāvīgā daļas griesti attiecībā uz pasīvo pārvaldīšanu tiek noteikti ievērojami zemāki, nekā līdz šim, var veidot situāciju, kas ilgtermiņā negatīvi varētu ietekmēt VFPS dalībniekus tieši pasīvajā pārvaldīšanā veidā, ka jaunie tirgus dalībnieki varētu atstāt tirgu un potenciālie konkurenti nesaskatītu par finansiāli izdevīgu ienākt tirgū. Tas kopumā var gan samazināt konkurenci, nelabvēlīgi ietekmēt tirgus struktūru, kā arī negatīvi ietekmēt piedāvājumu. Līdz ar to bez atbilstoša izvērtējuma nav iespējams noteikt, kas ir tie ieguvumi, kas spēj būtiski atsvērt pirmšķietamos ierobežojumus un negatīvo ietekmi uz konkurenci pasīvajā pārvaldīšanā.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ir atbalstāms anotācijā paustais attiecībā uz turētājbanku komisijām. Tomēr KP jau iepriekš ir secinājusi un paudusi, ka turētājbankas komisijas normatīvi nav fiksētas, tādēļ, vērtējot pārvaldīšanas komisiju samazinājuma ietekmi uz VFPS pārvaldītājiem, ir jāņem vērā arī konkurences apstākļi un cenu veidošanas mehānismi turētājbankas pakalpojumu tirgū. KP paskaidro, ka samazinot ieņēmumus, no vienas puses, un palielinot izdevumus vai atstājot tos nemainīgus, no otras puses, pastāv iespējamība, ka tas kavē jaunu tirgus dalībnieku ienākšanu tirgū vai pat esošam tirgus dalībniekam būs jāatstāj tirgus, kurā tas īsteno savu uzņēmējdarbību, ņemot vērā, ka īstenotā uzņēmējdarbība rezultējas zaudējumos vai tādā peļņas apmērā, kas vairs nav rentabls un nav samērīgs pretstatā tirgus dalībnieka reālajām izmaksām un sākotnējām investīcijām.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KP aicina atbildīgo komisiju izvērtēt, vai konkrētajā situācijā likumprojekta mērķi nevar sasniegt ar citiem, mazāk konkurenci ierobežojošiem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par 11. panta 5.1 daļas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Skaidrojumu par konkurenci skat.izziņas 22. un 23. punktā kā arī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- 11.11.2024.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1. pantu paredzēts atkāpties no vispārējās kārtības attiecībā uz mirušās personas kreditoru tiesībām pretendēt uz savas kreditoru pretenzijas segšanu gadījumā, ja parādnieka mantojums atzīts par bezmantinieka mantu. Tieslietu ministrija iepriekš lūdza ietvert anotācijā plašāku izvērtējumu un skaidrojumu par to, kāpēc personas uzkrātais fondētās pensijas kapitāls, ja tās mantojums atzīts par bezmantinieka mantu, nepiedalās mirušās personas kreditoru prasījumu segšanā (tajā skaitā papildinot anotāciju ar izvērtējumu par to, vai šāds regulējums atbilst Satversmes 105.pantam, kas aizsargā katras personas tiesības uz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precizēto likumrpjekta anotāciju, Tieslietu ministrija secina, ka, lai gan anotācija ir papildināta ar lūgto informāciju, tomēr iekļautā informācija nav uzskatāma par pietiekamu. Proti, Tieslietu ministrijas ieskatā satversmības izvērtējumu nevar uzskatīt par pietiekamu, ja atbildes uz satversmības kritērijiem vai izvērtējums par atbilstību tiek sniegts vienā vai divos teikumos. Līdz ar to aicinām tomēr izvērst likumprojekta 1.pantā paredzētā regulējuma atbilstības Satversmes 105. pantam pamatojumu.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likumprojekta anotācijā nepastāvot pienācīgam satversmības kritēriju izvērtējumam un pamatojumam, Tieslietu ministrija nevar līdz galam piekrist, ka šobrīd likumprojaktā paredzētais regulējums atbilst Satversmes 105. pantam.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Tieslietu ministrijas norādēm tika veikta plašāka pamattiesību ierobežojuma konstitucionalitātes izvērtēšana un izvērtējums ir iekļauts anotācijā pie risinājuma apraksta, tajā iekļaujot ne tikai pamatkritērijus, bet arī apakškritērijus, 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Pamattiesību ierobežojums ar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likums ir pieņemts, ievērojot normatīvajos aktos paredzēto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likums ir izsludināts un publiski pieejams atbilstoši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vai likums ir pietiekami skaidri formulēts, lai persona varētu izprast no tā izrietošo tiesību un pienākumu saturu un paredzēt tā piemērošanas sekas, kā arī vai likums nodrošina aizsardzību pret tā patvaļīgu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 Leģitīmais mērķis.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 Samērīgums: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likumdevēja izraudzītie līdzekļi ir piemēroti leģitīmā mērķa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nav saudzējošāku līdzekļu leģitīmā mērķa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vai likumdevēja rīcība ir atbilstoša.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 - 07.11.2024.)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(turpmāk – KP) 13.08.2024. sniedza savu sākotnējo atzinumu par likumprojektu “Grozījumi Valsts fondēto pensiju likumā” (turpmāk – 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jau iepriekš ir secinājusi, ka Likumprojekta anotācijā iztrūkst grozījumu ietekmes uz konkurenci izvērtējums, novērtējot uzņēmējdarbības vides un konkurences situāciju tirgū pēc grozījumu veikšanas, t.sk. kādā mērā grozījumi ietekmēs visus esošos un potenciālos tirgus dalībniekus konkrētajā tirgū, tādēļ KP 15.10.2024. starpinstitūciju sanāksmē paskaidroja, ka ir nepieciešams papildināt Likumprojekta anotāciju par grozījumu izvērtējumu uz konkurenci. Latvijas Banka (turpmāk – LB) 25.10.2024. starpinstitūciju sanāksmē skaidroja, ka ir papildinājusi Likumprojekta izziņu ar skaidrojumu par konkurenci ietekmējošo faktoru izvērtēšanu, ko pēc KP lūguma iekļaus Likumprojekta anotācijā. Tomēr KP secina, ka Likumprojekta anotācijas 5.0 redakcija nav papildināta ar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tiek skaidrots, ka ir saglabājams motivējošs mehānisms līdzekļu pārvaldītājiem, nosakot maksājuma mainīgo daļu atbilstoši noturīgam (turpmāk – VFPS)  VFPS plāna darbības sniegumam, kurš nodrošina VFPS dalībniekam augstāku kapitāla pieaugumu ilgā termiņā salīdzinājumā ar neitrālu, pasīvu ieguldījumu stratēģiju. Taču KP secina, ka Likumprojekta anotācijā nav veikts grozījumu ietekmes izvērtējums attiecībā uz tiem VFPS pārvaldītājiem, kuri mainīgās komisijas maksas nepiemēro vispār. Līdz ar to nav vērtēts kā tiks ietekmēti tie tirgus dalībnieki, kuriem nav iespēju diversificēt izmaksas, sedzot pasīvi pārvaldīto plānu izmaksas uz aktīvi pārvaldīto plānu komisiju rēķina. KP secina, ka VFPS pārvaldnieki, kuru ieguldījumu plāns balstās tikai uz indeksu pieeju (t.i. pasīvo pārvaldīšanu), savas izmaksas sedz tikai no maksājuma par ieguldījumu plāna pārvaldes pastāvīgās daļas, līdz ar to Likumprojektā piedāvātā 11. panta 5.1 daļas redakcija pirmšķietami būtiski samazinās tieši minēto tirgus dalībnieku ieņēmumus.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Citstarp KP secina, ka Likumprojekta anotācijā nav ticis iekļauts novērtējums par turētājbankas komisijām ietekmi uz tirgus dalībnieku spēju segt turētājbankas piemērotās komisijas un līdz ar to arī plašāk – to savstarpējo konkurētspēju. Kaut arī Likumprojekta 5.0 anotācijas redakcijā tiek paredzēts, ka ar mērķi novērtēt šo risku un noteikto regulatīvo prasību samērīgumu, LB 2025. gadā analizēs līdzekļu pārvaldītāju un turētājbanku sadarbības modeļus un to risku pārvaldību un izmaiņu iespējamības gadījumā sagatavos priekšlikumus regulatīvo prasību izmaiņām, ir jāņem vērā, ka uz grozījumu pieņemšanas brīdi turētājbankas komisijas pirmšķietami nebūs normatīvi fiksētas un tādējādi šobrīd nepastāv mehānismi, kas ierobežotu nozīmīgu komisijas veidošanās komponenti, kuru pārvaldītāji patstāvīgi ietekmēt nevar. Tādēļ, vērtējot pārvaldīšanas komisiju samazinājuma ietekmi uz pārvaldītājiem, ir jāņem vērā arī konkurences apstākļi un cenu veidošanas mehānismi turētājbankas pakalpojumu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paskaidro, ka cenu veidošanās mehānisms (t.i. neregulējot turētājbanku komisijas) ir būtisks apstāklis, kas būtu vērtējams, ieviešot Likumprojektā paredzētos grozījumus. Minētais pamatojams ar to, ka, samazinot ieņēmumus, no vienas puses, un palielinot izdevumus vai atstājot tos nemainīgus, no otras puses, pastāv iespējamība, ka tirgus dalībnieki var zaudēt iespējas pilnvērtīgi konkurēt, kas ilgtermiņā var ne tikai negatīvi ietekmēt konkurences apstākļus tirgū, bet arī samazināt savstarpējo konkurenci, atsevišķiem tirgus dalībniekiem pārstājot darboties tirgū, kurā tas īsteno savu uzņēmējdarbību, ņemot vērā, ka īstenotā uzņēmējdarbība rezultējas zaudējumos vai tādā peļņas apmērā, kas vairs nav rentabls un nav samērīgs pretstatā tirgus dalībnieka reālajām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Likumprojektam ir tieša ietekme uz konkurenci, KP aicina veikt ietekmes uz konkurenci izvērtējumu, un atbildīgo komisiju iekļaut anotācijā izvērtējumu par to, vai konkrētajā situācijā Likumprojekta mērķi nevar sasniegt ar citiem, mazāk konkurenci ierobežojošiem līdzekļiem, tādējādi meklējot samērīgāko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ar sekojošu skaidrojumu par konkurenci: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Aplūkojot Latvijas VFPS līdzekļu pārvaldītāju kapitāla atdeves (return on equity) jeb ROE rādītājus, sešas no septiņām (VAIRO IPAS netika ņemts vērā, jo 2023. gada pēdējā ceturksnī uzsāka darbību) sabiedrībām 2023. gadu noslēdza ar peļņu. Visu septiņu sabiedrību ROE bija no -2,8% līdz 34,0%. Šī diapazona zemākā vērtība ir izskaidrojama ar viena pārvaldītāja lēmumu turpināt strauji audzēt VFPS tirgus daļu, novirzīt būtisku naudas plūsmu klientu piesaistei un attīstīt citu ar pensiju pārvaldīšanu nesaistītu biznesa virzienu</w:t>
            </w:r>
            <w:r w:rsidR="00000000" w:rsidRPr="00000000" w:rsidDel="00000000">
              <w:rPr>
                <w:vertAlign w:val="superscript"/>
                <w:rtl w:val="0"/>
              </w:rPr>
              <w:t xml:space="preserve">[1]</w:t>
            </w:r>
            <w:r w:rsidR="00000000" w:rsidRPr="00000000" w:rsidDel="00000000">
              <w:rPr>
                <w:rtl w:val="0"/>
              </w:rPr>
              <w:t xml:space="preserve">. Savukārt Latvijas četru lielāko fondēto pensiju shēmas līdzekļu pārvaldītāju ROE 2023. gadā bija vidēji 17,3 % (t.sk. arī tā līdzekļu pārvaldītāja, kura 2023. gada ROE bija -2,8%) un šo četru sabiedrību 2023. gada peļņas attiecība pret tām minimāli nepieciešamo pamatkapitālu (atbilstoši Likumā noteiktajam) bija vidēji 48,3 % (t.sk. arī tā līdzekļu pārvaldītāja, kura 2023. gada ROE bija -2,8%).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Apjoma radītais ietaupījums ir izteiktāks tiem līdzekļu pārvaldītājiem, kuri pārvalda ieguldījumus, izmantojot pasīvu pārvaldīšanas stratēģiju. Jaunpienākušo un  esošo klientu no jauna veiktās sociālās iemaksas līdzekļu pārvaldītāji iegulda pirms tam jau izvēlētajos finanšu instrumentos. Pasīvā pārvaldīšanas stratēģija  atspoguļojas komisijas maksas apmērā: tā, 2023. gadā vidējā pastāvīgā komisijas maksa pasīvi pārvaldītajiem ieguldījuma plāniem bija 0,36%, kas ir par 0,13% punktiem zemāk nekā aktīvi pārvaldītajiem ieguldījuma plāniem. Izmaksu ziņā konkurētspējīgāki ir tieši pasīvi pārvaldīto ieguldījuma plānu pārvaldītāji, savukārt, pārvaldītājiem, kuri aktīvi pārvalda ieguldījuma plānus, ir iespēja iegūt atlīdzības mainīgo daļu. No minētā izriet, ka katram līdzekļu pārvaldītājam atkarībā no tā izvēlētās līdzekļu pārvaldīšanas stratēģijas ir savas priekšrocības un iespējas, kuras tas var izmantot, pielāgojoties jaunajiem pastāvīgās komisijas maksas griestiem.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vertAlign w:val="superscript"/>
                <w:rtl w:val="0"/>
              </w:rPr>
              <w:t xml:space="preserve">[1]</w:t>
            </w:r>
            <w:r w:rsidR="00000000" w:rsidRPr="00000000" w:rsidDel="00000000">
              <w:rPr>
                <w:i w:val="1"/>
                <w:rtl w:val="0"/>
              </w:rPr>
              <w:t xml:space="preserve"> 2024. gada pirmajā pusē INDEXO uzrāda 536 tūkstošu eiro normalizēto peļņu no pensiju pārvaldes un konsolidētos zaudējumus 1,96 miljonu eiro apmērā bankas izveides investīciju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 - 13.08.2024.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(turpmāk – KP) 23.05.2024. saņēma vēstuli Nr. N47.2024-IPAS no IPAS Indexo (turpmāk – Indexo) par likumprojektu “Grozījumi Valsts fondēto pensiju likumā” (turpmāk – Vēstule). Vēstule tika adresēta arī Latvijas Bankai, Finanšu ministrijai un Labklājības ministrijai. Vēstulē Indexo sniedza komentārus par plānotajiem grozījumiem Valsts fondēto pensiju likumā (turpmāk – Likumprojekts). Vēstulē tika pausts viedoklis par piedāvāto 11. panta 5.1 daļas redakciju Likumprojektā. Tāpat KP ir saņēmusi un iepazinusies ar 21.06.2024. Latvijas Bankas sagatavoto atbildes vēstuli Nr. 08-08.1/2024/9198 adresētu Indexo (turpmāk – LB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ir secinājusi, ka Likumprojekts tiesību aktu projektu publiskajā portālā ticis ievietots 16.07.2024., piešķirot Likumprojektam Projekta ID 24-TA-936. Citstarp KP konstatē, ka nav tikusi uzaicināta sniegt atzinumu par Likumprojektu. Atbilstoši Konkurences likuma 6. panta pirmās daļas 8. punktam KP sagatavo un sniedz atzinumus par Ministru kabinetā izskatāmajiem tiesību aktu projektiem, kuros tieši vai netieši skarti konkurences aizsardzības, saglabāšanas vai attīstības jautājumi. KP uzskata, ka Likumprojekts tieši var skart konkurences attīstības jautājumus, līdz ar to KP sniedz atzinumu par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Saeimas Sociālo un darba lietu komisijas un Budžeta un finanšu (nodokļu) komisijas kopsēdes protokolā un Saeimas Sociālo un darba lietu komisijas sēdes protokolā dots uzdevums Labklājības ministrijai veikt esošā valsts fondēto pensiju shēmas regulējuma pilnveidi, KP atbalsta un uzskata, ka minētā regulējuma pilnveidošana ir būtiska.[1] Ievērojot, ka KP uzskata, ka Likumprojekts var skart konkurences attīstības jautājumus, KP secina, ka Likumprojekta anotācijā iztrūkst grozījumu ietekmes uz konkurenci izvērtējums, novērtējot uzņēmējdarbības vides un konkurences situāciju tirgū pēc grozījumu veikšanas un kādā mērā grozījumi ietekmēs visus esošos un potenciālos tirgus dalībniekus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secina, ka Likumprojekta mērķis tai skaitā, bet ne tikai ir nodrošināt valsts fondētās pensijas shēmas (turpmāk - VFPS) dalībniekiem iespējami lielāku pensiju uzkrājumu vērtības pieaugumu ilgā termiņā, līdzsvarojot VFPS dalībnieku un fondēto pensiju shēmas līdzekļu pārvaldītāju intereses. Likumprojekts ietver Valsts fondēto pensiju likuma 11. panta 5.1 daļas jaunu redakciju, paredzot maksimālo maksājuma pastāvīgās daļas apmēru par ieguldījumu plāna pārvaldi.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tiek paskaidrots, ka visu ieguldījuma risku uzņemas VFPS dalībnieki, kā arī VFPS dalībnieku neto iemaksas veido vairāk nekā 80% no uzkrātā VFPS kapitāla. Ņemot vērā minēto maksājuma pastāvīgās daļas maksimālā vērtībā būtu jāstiprina regresivitātes princips – jo lielāki aktīvi, jo mazāka maksājuma pastāvīgā daļa. Maksimālā maksājuma pastāvīgā daļa būtu nosakāma 0,6% apmērā par pirmajiem 100 milj. euro pārvaldībā un samazināma par 7,5% par katriem nākamajiem VFPS 100 milj. euro pārvaldībā (t.sk. ieviešot 0,20% grīdu). Ņemot vērā minēto, KP secina, ka Likumprojekts visbūtiskāk ietekmēs tos VFPS pārvaldītājus, kuri pārvalda lielāko daļu no pārvaldāmajiem aktīviem, būtiski samazinot pastāvīgās pārvaldīšanas komisijas 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Citstarp Likumprojekta anotācijā tiek pausts, ka ir saglabājams motivējošs mehānisms līdzekļu pārvaldītājiem, nosakot maksājuma mainīgo daļu atbilstoši noturīgam VFPS plāna darbības sniegumam, kurš nodrošina VFPS dalībniekam augstāku kapitāla pieaugumu ilgā termiņā salīdzinājumā ar neitrālu, pasīvu ieguldījumu stratēģiju. Citiem vārdiem sakot, Likumprojekts samazina pastāvīgās pārvaldīšanas komisijas maksas, piedāvājot VFPS pārvaldītajiem tās kompensēt, piemērojot mainīgās komisijas maksas pārvaldāmajiem aktīviem.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KP secina, ka Likumprojekta anotācijā nav veikts grozījumu ietekmes izvērtējums attiecībā uz tiem VFPS pārvaldītājiem, kuri mainīgās komisijas maksas nepiemēro vispār. Kamēr tiem tirgus dalībniekiem, kuri īsteno gan pasīvo, gan aktīvo pensiju plānu pārvaldīšanu, būs iespēja diversificēt izmaksas, sedzot pasīvi pārvaldīto plānu izmaksas uz aktīvi pārvaldīto plānu komisiju rēķina, tikmēr tiem VFPS pārvaldītājiem, kuri īsteno tikai pasīvo plānu pārvaldīšanu, šādas iespējas nebūs. Līdz ar to pirmšķietami atsevišķi tirgus dalībnieki, kuri īsteno tikai pasīvo plānu pārvaldīšanu, tiek nostādīti nevienlīdzīgā situācijā pretstatā tiem tirgus dalībniekiem, kuriem izmaksas būs iespēja diversificēt. KP secina, ka VFPS pārvaldnieki, kuru ieguldījumu plāns balstās tikai uz indeksu pieeju (t.i. pasīvo pārvaldīšanu), savas izmaksas sedz tikai no maksājuma par ieguldījumu plāna pārvaldes pastāvīgās daļas, līdz ar to Likumprojektā piedāvātā 11. panta 5.1 daļas redakcija pirmšķietami būtiski samazinās tieši minēto tirgus dalībnieku ieņēmumus.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Citstarp KP secina, ka Likumprojekta anotācijā nav ticis iekļauts novērtējums par turētājbankas komisijām un kādu ietekmi Likumprojektā piedāvātā 11. panta 5.1 daļas redakcija atstās uz tirgus dalībnieku spēju segt turētājbankas piemērotās komisijas. Turētājbankas komisijas normatīvi nav fiksētas, tādēļ, vērtējot pārvaldīšanas komisiju samazinājuma ietekmi uz pārvaldītājiem, ir jāņem vērā arī konkurences apstākļi un cenu veidošanas mehānismi turētājbankas pakalpojumu tirgū. Arī Vēstulē Indexo informē, ka jau šobrīd ievērojamu daļu no fiksētās komisijas veido maksājumi turētājbankām par ieguldījumu plāna pārvaldi. Līdz ar to KP pirmšķietami secina, ka Likumprojekta izstrādes laikā nav ticis vērtēts faktiskais pārvaldes pakalpojumu cenu veidošanas mehānisms. KP paskaidro, ka cenu veidošanās mehānisms ir būtisks apstāklis, kas būtu vērtējams, ieviešot Likumprojektā paredzētos grozījumus. Minētais pamatojams ar to, ka, samazinot ieņēmumus, no vienas puses, un palielinot izdevumus vai atstājot tos nemainīgus, no otras puses, pastāv iespējamība, ka tirgus dalībniekam būs jāatstāj tirgus, kurā tas īsteno savu uzņēmējdarbību, ņemot vērā, ka īstenotā uzņēmējdarbība rezultējas zaudējumos vai tādā peļņas apmērā, kas vairs nav rentabls un nav samērīgs pretstatā tirgus dalībnieka reālajām izmaksām. Tāpat jauniem tirgus dalībniekiem, kuri vēlas fokusēt uzņēmējdarbību uz pasīvo pensiju plānu pārvaldīšanu, varētu zust interese ienākt tirgū, ņemot vērā, ka ar Likumprojektā paredzēto maksimālo maksājuma pastāvīgās daļas apmēru par ieguldījumu plāna pārvaldi varētu nebūt pietiekami, lai atpelnītu investīcijas, kuras nepieciešams ieguldīt, uzsākot darbību konkrētajā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paskaidro, ka cenu regulēšanai tirgū ir jābūt pamatotai, taisnīgai un tās rezultātā nedrīkst mazināt preču vai pakalpojumu pieejamību patērētājam.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nenoliedz nepieciešamību nodrošināt VFPS dalībniekiem iespējami lielāku pensijas uzkrājuma vērtības pieaugumu ilgā termiņā, līdzsvarojot VFPS dalībnieku un līdzekļu pārvaldītāju intereses, tādējādi vairojot sabiedrības labklājību. Tomēr šāda mērķa sasniegšanai ir jābūt samērīgai attiecībā pret tirgus dalībniekiem, neierobežojot konkurenci. Līdz ar to KP aicina veikt ietekmes uz konkurenci izvērtējumu, un atbildīgo komisiju iekļaut anotācijā izvērtējumu par to, vai konkrētajā situācijā Likumprojekta mērķi nevar sasniegt ar citiem, mazāk konkurenci ierobežojošiem līdzekļiem, tādējādi meklējot samērīgāko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Saeimas Sociālo un darba lietu komisijas un Budžeta un finanšu (nodokļu) komisijas 2023.gada 28.marta kopsēdes protokols Nr. 141.1.9/9-19-14/23 un Saeimas Sociālo un darba lietu komisijas 2023. gada 13. septembra sēdes protokols Nr. 141.1.9/9-44-14/23, kurā dots uzdevums Labklājības ministrijai veikt esošā valsts fondēto pensiju shēmas regulējuma pilnveidi.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Maksājumus līdzekļu turētājam nevar atdalīt no maksājumu pastāvīgās daļas, jo VFPS līdzekļu pārvaldītājiem ir uzticēts rīkoties ar fondēto pensiju shēmas līdzekļiem klienta vārdā kā gādīgam un rūpīgam saimniekam (līdzekļu pārvaldītāja-klienta interešu saite), tai skaitā nodrošinot labāko darījumu izpildi, līdzekļu turēšanas pakalpojumu un citas ar pārvaldīšanu saistītās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minēto izdevumu atdalīšana padarītu vājāku šo līdzekļu pārvaldītāja-klienta interešu saiti, un, otrkārt, samazinātu līdzekļu pārvaldītāja funkciju klāstu, kā rezultātā par to pienākošos atlīdzību.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turētājbanku komisijas apmērs būtiski nemainās atkarībā no pensiju 2. līmeņa līdzekļu pārvaldītāju pārvaldībā esošā aktīvu apmēra. No 2019. gada sākuma līdz 2023. gada beigām pensiju 2. līmeņa turētājbanku komisijas apmērs ir samazinājies no 0.08% līdz 0.07%, kaut arī šajā periodā pensiju 2. līmeņa aktīvu apmērs ir gandrīz dubultojies. Salīdzinot ar kaimiņvalsti Igauniju, kur pensiju 2. līmeņa aktīvu apmērs ir par aptuveni 2 miljrd. eiro mazāks nekā Latvijā, komisijas apmērs 2023. gadā bija vidēji 0.055%.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Daži Igaunijas pensiju 2. līmeņa plānu pārvaldnieki līgumā starp pārvaldītāju un turētājbanku pat ir noteikuši, ka viņu komisijas maksas nepārsniegs 0.05% no aktīviem un samazināsies līdz 0.042% no aktīvu apjoma. Latvijas lielākais pensiju 2. līmeņa pārvaldītājs, kura aktīvi 2023. gada beigās 2. lielāko pārvaldītāju pārsniedz par apmēram 1.4 mljrd. eiro., 2023. gadā piedāvāja par 0.02% punktiem augstākas turētājbankas komisijas nekā 2. lielākais pārvaldītājs.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Turētājbanku tirgū pašlaik spēkā esošās komisijas ir ļoti augstas, tomēr to samazināšana ir jāskata kā līdzekļu pārvaldītāju pienākums uzņemties rūpes par klientam visizdevīgāko nosacījumu sasniegšanu, rīkojoties kā rūpīgam un gādīgam saimniekam.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Skaidrojumi par konkurenci ietekmējošo faktoru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panta 5.</w:t>
            </w:r>
            <w:r w:rsidR="00000000" w:rsidRPr="00000000" w:rsidDel="00000000">
              <w:rPr>
                <w:vertAlign w:val="superscript"/>
                <w:rtl w:val="0"/>
              </w:rPr>
              <w:t xml:space="preserve">1</w:t>
            </w:r>
            <w:r w:rsidR="00000000" w:rsidRPr="00000000" w:rsidDel="00000000">
              <w:rPr>
                <w:rtl w:val="0"/>
              </w:rPr>
              <w:t xml:space="preserve"> daļas jaunas redakcijas priekšlikums saglabā līdzšinējā redakcijā paredzēto mehānismu, kur maksimālais maksājuma pastāvīgās daļas apmērs noteikts soļos, sākot no 0.6%. Pieaugot VFPS līdzekļu pārvaldītāja pārvaldībā esošajiem līdzekļiem, attiecībā uz katru nākamo pārvaldībā esošo aktīvu soli maksimālais maksājuma pastāvīgās daļas apmērs tiek samazināts, lai atspoguļotu mēroga ekonomiju, kamēr iepriekšējos soļos noteiktais apmērs nemainās. Par visiem soļiem aprēķinot kopējo maksimālo maksājuma pastāvīgās daļas apmēru, tas turpina absolūtā izteiksmē pieaugt un vienīgi tā kopējā relatīvā vērtība par visiem soļiem samazinās nākot klāt nākamajiem soļiem.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Piemērotais pārvaldībā esošo aktīvu apjoma kritērijs ir objektīvs mēroga ekonomiju raksturojošs faktors. To nenoliedz arī VFPS līdzekļu pārvaldītāju nozare.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jaunās redakcijas priekšlikums saglabā līdzšinējā redakcijā paredzēto mehānismu, bet tikai izvērš tā darbību apstākļos, kur VFPS līdzekļu pārvaldībā esošo aktīvu apjoms būtiski pieaug, radot turpmākus mēroga ekonomijas ietaupījumus. Līdz šim bija paredzēts tikai viens solis – pārvaldnieka pārvaldīšanā esošajiem kopējiem ieguldījumu plānu kopējiem aktīviem pārsniedzot 300 miljonus eiro maksājumu pastāvīgās daļas maksimālais apmērs samazinājās no 0.6% uz 0.4%  aktīvu daļai, kas pārsniedz 300 miljonus. Savukārt likumprojekts paredz pakāpenisku sākotnējās 0.6% pastāvīgās komisijas griestu samazinājumu pie katriem nākamajiem pārvaldībā esošajiem 100 miljoniem eiro, taču nesamazinoties zemāk par 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Līdzšinējās diskusijās ar VFPS līdzekļu pārvaldītājiem izskanējušais alternatīvais priekšlikums apjoma ietaupījumus nevērtēt attiecībā pret VFPS līdzekļu pārvaldītāja pārvaldībā esošajiem aktīviem, bet gan visu VFPS līdzekļu pārvaldītāju sektoru kopumā radītu nevienlīdzīgus konkurences apstākļus starp VFPS līdzekļu pārvaldītājiem, kuri sasnieguši būtiskus apjoma ekonomijas ietaupījumus salīdzinājumā ar VFPS pārvaldītājiem, kuri tikai uzsāktu piesaistīt līdzekļus pārvaldībā.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vēstulē pieļautā iespēja segt pasīvi pārvaldīto plānu izmaksas uz aktīvi pārvaldīto plānu komisiju rēķina (tai skaitā no mainīgām komisijām) pašai par sevi ir negodīgas konkurences iezīme (kur uz vienas grupas VFPS dalībnieku rēķina tiktu segtas citu VFPS dalībnieku aktīvu pārvaldes izmaksas) un nebūtu pieļaujama neatkarīgi no 11. panta 5.</w:t>
            </w:r>
            <w:r w:rsidR="00000000" w:rsidRPr="00000000" w:rsidDel="00000000">
              <w:rPr>
                <w:vertAlign w:val="superscript"/>
                <w:rtl w:val="0"/>
              </w:rPr>
              <w:t xml:space="preserve">1</w:t>
            </w:r>
            <w:r w:rsidR="00000000" w:rsidRPr="00000000" w:rsidDel="00000000">
              <w:rPr>
                <w:rtl w:val="0"/>
              </w:rPr>
              <w:t xml:space="preserve"> daļā atrunātā.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- 31.07.2024.)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Vēršam uzmanību, ka piedāvājums regulējumam (kas piedāvāts 11.panta 5.</w:t>
            </w:r>
            <w:r w:rsidR="00000000" w:rsidRPr="00000000" w:rsidDel="00000000">
              <w:rPr>
                <w:vertAlign w:val="superscript"/>
                <w:rtl w:val="0"/>
              </w:rPr>
              <w:t xml:space="preserve">1</w:t>
            </w:r>
            <w:r w:rsidR="00000000" w:rsidRPr="00000000" w:rsidDel="00000000">
              <w:rPr>
                <w:rtl w:val="0"/>
              </w:rPr>
              <w:t xml:space="preserve"> daļā) par izmaiņām ir nesamērīgs esošai tirgus situācijai, piemēram, atbilstoši OECD pieejamai informācijai piedāvātais regulējums paredz ieņēmumu griestus, kas ir 50% mazāki nekā vidēji OECD. Papildus vēršam uzmanību, ka anotācijā ietvertajiem apsvērumiem par OECD datiem nav ietvertas atsauces vai norādes par publiski pieejamiem datu avotiem pēc kā iecerēts izdarīt izmaiņas tiesiskajā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Lielākā daļa pensiju pārvaldnieka izdevumu ir saistīti ar klientu konsultēšanu un maksām, kas proporcionālas AUM (Piemēram, turētājbankas izmaksas un maksājumi Latvijas Bankai), kuriem nav apjoma ekonomijas pieaugot ieguldījumu aktīviem. Piedāvājam likmes pārskatīt proporcionāli pārvaldes izdevumu apjoma ekonomijas proporcijai.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anotācijā minēts pretēji, matemātiski aprēķini rāda, ka šis regulējums visticamāk ietekmēs tikai 2 pārvaldnieku pārvaldīto fondu klientus. Sekojoši tas nesasniedz savu mērķi radīt lielāku pensiju kapitālu visiem VFPS dalībniekiem un rada arī, iespējams,  nevienlīdzīgu konkurenci. Šāda pieejā veidots tirgus regulējums pārliek atbildību no pensiju pārvaldnieka akcionāriem uz klientu, kā arī veido faktisku situāciju atsevišķu tirgus dalībnieku interesēs. Regulējumam būtu jābūt noteiktam balstoties uz tirgus aktīvu apjomu un jāietekmē visi tirgus dalībnieki vienlīdzīgi, skatoties no klientu, nevis akcionāru perspektīvas.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spēkā esošo vēsturisko regulējumu attiecībā uz maksimāli iespējamo ieguldījuma risku VFPS ieguldījumu politikā, par kuru pilnu atbildību jāuzņemas likumdevējam un pensiju uzkrājuma relatīvi īso periodu un mazos sākotnējos apjomus, ir nekorekti minēt, ka lielāko daļu VFPS sastāda dalībnieku veiktās iemaksas. Esam vairākkārtīgi norādījuši uz ievērojamo neiegūto VFPS dalībnieku ieguvumu, ko šāds regulējums bija radījis.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pārvaldnieka apjoma radītie ietaupījumi rodas no pārvaldīšanas izdevumiem, tad nekorekti regulējumu attiecināt uz visiem ieņēmumiem. Pārvaldes izdevumi nav lielākā līdzekļu pārvaldnieka izdevumu sadaļa. Lielākā sadaļa ir klientu piesaistīšana un informācijas sniegšana klientiem kā arī klientu konsultēšana, kas ir individuāla un netiek tiešā mērā ietekmēta no Aktīvu apjomu izmaiņām. Tas tiek minēts arī pašā anotācijā: “</w:t>
            </w:r>
            <w:r w:rsidR="00000000" w:rsidRPr="00000000" w:rsidDel="00000000">
              <w:rPr>
                <w:i w:val="1"/>
                <w:rtl w:val="0"/>
              </w:rPr>
              <w:t xml:space="preserve">Tā kā VFPS dalībniekiem ir atšķirīga finanšu pratība un atšķirīgas vajadzības pēc apkalpošanas līmeņa, specifikas un veida, pastāv ļoti liela varbūtība, ka liela daļa VFPS dalībnieku izvēlēsies individuālās konsultācijas un apkalpošanu klātienē.</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Otrā lielākā sadaļa ir izdevumu, kas saistīti ar regulatīvo regulējumu ieviešanu un relatīvie pārvaldes izdevumi (turētājbankas izmaksas, maksājumi uzraugam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Salīdzinājums ar OECD pētījumu ir izmantots nekorekti, jo nav pievienota atsauce uz konkrēto pētījumu un tā metodoloģiju (piemēram iekļautajām izmaksām) kā arī nav norādīts cik liels ir vidējo pensiju uzkrājumu aktīvu apjoms, kas atbilst norādītajai likmei. Pēc aptuveniem aprēķiniem piedāvātais regulējums radīs 50% zemākus ieņēmumus LV VFPS pārvaldniekiem nekā vidēji OECD valstīs, kas norāda uz regulējuma nesamērīgumu.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Pievēršam uzmanību, ka likumprojekta virzība nebūt nav raksturojama kā vienošanās par kādiem konkrētiem eventuāliem risinājumiem, pie tam jāvērš uzmanība, ka paralēli šim procesam pārvaldītāji, atsaucoties uz OECD pētījumu </w:t>
            </w:r>
            <w:r w:rsidR="00000000" w:rsidRPr="00000000" w:rsidDel="00000000">
              <w:rPr>
                <w:i w:val="1"/>
                <w:rtl w:val="0"/>
              </w:rPr>
              <w:t xml:space="preserve">(skat. https://www.oecd-ilibrary.org/deliver/dfeae75b-en.pdf?itemId=%2Fcontent%2Fpublication%2Fdfeae75b-en&amp;mimeType=pdf)</w:t>
            </w:r>
            <w:r w:rsidR="00000000" w:rsidRPr="00000000" w:rsidDel="00000000">
              <w:rPr>
                <w:rtl w:val="0"/>
              </w:rPr>
              <w:t xml:space="preserve"> saņēmuši ari aicinājumu un </w:t>
            </w:r>
            <w:r w:rsidR="00000000" w:rsidRPr="00000000" w:rsidDel="00000000">
              <w:rPr>
                <w:u w:val="single"/>
                <w:rtl w:val="0"/>
              </w:rPr>
              <w:t xml:space="preserve">ir snieguši apjomīgus priekšlikumus par nepieciešamām izmaiņām regulējumā</w:t>
            </w:r>
            <w:r w:rsidR="00000000" w:rsidRPr="00000000" w:rsidDel="00000000">
              <w:rPr>
                <w:rtl w:val="0"/>
              </w:rPr>
              <w:t xml:space="preserve"> (</w:t>
            </w:r>
            <w:r w:rsidR="00000000" w:rsidRPr="00000000" w:rsidDel="00000000">
              <w:rPr>
                <w:i w:val="1"/>
                <w:rtl w:val="0"/>
              </w:rPr>
              <w:t xml:space="preserve">skat. https://www.financelatvia.eu/wp-content/uploads/2024/06/049_1_21_49_LB.pdf</w:t>
            </w:r>
            <w:r w:rsidR="00000000" w:rsidRPr="00000000" w:rsidDel="00000000">
              <w:rPr>
                <w:rtl w:val="0"/>
              </w:rPr>
              <w:t xml:space="preserve">) </w:t>
            </w:r>
            <w:r w:rsidR="00000000" w:rsidRPr="00000000" w:rsidDel="00000000">
              <w:rPr>
                <w:u w:val="single"/>
                <w:rtl w:val="0"/>
              </w:rPr>
              <w:t xml:space="preserve">kas ļautu sasniegt labākus rezultātus un vairot dalībnieku uzkrājumus</w:t>
            </w:r>
            <w:r w:rsidR="00000000" w:rsidRPr="00000000" w:rsidDel="00000000">
              <w:rPr>
                <w:rtl w:val="0"/>
              </w:rPr>
              <w:t xml:space="preserve">. Vienlaikus šajā projekta virzībā ar to nez kāpēc nav sasaistes, lai gan atsevišķi jautājumi it kā skarti. Laika ziņā minētās aktivitātes (uzaicinājums  sniegt priekšlikumus un atbildes) sakrīt ar likumprojekta un tā virzības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Skatot visus mūsu sniegtos iebildumus par likumprojektu un tā anotāciju kopsakarā, vēršam uzmanību, ka nav sniegti visi apsvērumi (vai tie sniegti nepilnīgi) par izvēlēto risinājumu izvērtējumu ievērojot Satversmes tiesas praksē un tiesību zinātnē nostiprināto pieeju par izvēlētā regulējuma risinājumu atbilstību tiesību sistēmai, principiem, tostarp, arī Satversmei. Iepriekš minētie apsvērumi liecina, ka likumprojekta izstrādes ietvaros, iespējams, nav veikts atbilstošs vērtējums vismaz daļai no risinājumiem un kādas sekas varētu rasties pēc regulējuma spēkā stāšanās (vai arī tas nav ietverts anotācijā). Pievēršam uzmanību Satversmes tiesa ir atzinusi, ka šāda novērtējuma neesamība var liecināt, ka normām nav leģitīma mērķa (</w:t>
            </w:r>
            <w:r w:rsidR="00000000" w:rsidRPr="00000000" w:rsidDel="00000000">
              <w:rPr>
                <w:i w:val="1"/>
                <w:rtl w:val="0"/>
              </w:rPr>
              <w:t xml:space="preserve">skat., piemēram, Satversmes tiesas 2006.gada 6.jūnija spriedumu lietā Nr.2005-25-01, 20.punkts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Vēršam uzmanību,  ka kopējā atlīdzība līdzekļu pārvaldītājam par ieguldījuma plānu pārvaldīšanu 2023. gadā vidēji Latvijā veidoja 0.45%, kas ir par 25% vairāk nekā vidēji OECD valstīs – 0.36% (2021. gada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2017. gadā, kad pēdējo reizi tika pārskatīta atlīdzības pastāvīgās daļas griesti, tika prognozēts, ka tā rezultātā vidējā atlīdzības pastāvīgā daļa sasniegtu OECD kopējās atlīdzības vidējo vērtību. Kā redzams prognoze nav piepildījusies galvenokārt dēļ tā, ka vidējais atlīdzības līmenis OECD valstīs kopš tā laika ir nozīmīgi mazinājies, kas skaidrojams ar to, ka OECD dalībvalstu pensiju aktīvu apmērs aug, efektivitāte palielinās un relatīvais atlīdzība apmērs par līdzekļu pārvaldīšanu samazinās.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saprotam, tad iebildumā minētais apgalvojums, ka regulējums paredz pārvaldības komisijas griestus, kas ir par apmēram 50% mazāki nekā vidēji OECD ir saistāms ar pārvaldītājiem labvēlīgo normu, kas paredz, ka līdz ar pārvaldāmo aktīvu apjoma pieaugumu par katriem 100 milj. eiro pastāvīgās komisijas griestu pakāpeniskais samazinājums apstājas un paliek nemainīgs 0.2% apmērā par katriem nākamajiem 100 miljoniem eiro aktīviem pārvaldīšanā, kad  pārvaldītāja aktīvi sasniedz un turpina augt virs 1.5 mljrd. eiro. Šāds apgalvojums ir nepareizs, jo  0.2% ir nevis vidējās komisijas griesti, bet gan robežvērtība komisijas griestiem virs 1.5. miljarda eiro katram pārvaldītājam.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vajadzībām pieņemot, ka nākotnē saglabājas esošais katra pārvaldītāja īpatsvars pensiju 2. līmeņa aktīvu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pārvaldīšanā, aprēķini rāda, ka pie šādas 0.2% pastāvīgās komisijas griestu robežvērtības, vidējā pastāvīgā komisija Latvijā kopumā pietuvotos 0.23% līmenim tikai tad, kad esošie aptuveni 8.5 miljardi eiro pensiju 2. līmeņa aktīvi pieaugtu virs 40 miljardiem eiro, kas netiek sagaidīts pārskatāmā nākotnē.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vēlamies vērst uzmanību, ka jau 2021. gadā OECD gandrīz pusei valstu, vidējās kopējās pārvaldīšanas izmaksas bija aptuveni 0.2% vai būtiski zemāk, to vidū arī valstis, kuru pārvaldāmie aktīvi pašlaik nepārsniedz 40 miljardus vai atsevišķā gadījumā ir pat būtiski mazāki par Latvijā jau pārvaldītajiem 8.5 miljardiem eiro. Turklāt vēršam uzmanību, ka salīdzināšanai izmantotie OECD dati ir par kopējām pārvaldīšanas komisijām, savukārt šajā punktā apspriestais piedāvātais regulējums Latvijai atrunā tikai maksimālo pastāvīgo komisijas daļu (neietverot mainīgo komisijas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uzsveram, ka par katru pārvaldībā esošo aktīvu apjoma nākamo soli visiem līdzekļu pārvaldītājiem ir noteikti vienādi griesti; Latvijas Banka neīsteno labvēlīgu vai nelabvēlīgu attieksmi pret kādu no līdzekļu pārvaldītājiem.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Lielāko VFPS ieguldījumu apjoma daļu veido dalībnieku veikto sociālo iemaksu apmērs.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VFPS aktīvu, līdz ar to arī līdzekļu pārvaldītāju biznesa apjoms ir audzis straujāk un apjoma ietaupījumu efekts ir bijis izteiktāks, salīdzinot ar gadījumu, kad aktīvu apjoms pieaugtu pats par sevi.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Salīdzinot ieguldījumu pārvaldīšanas izmaksas starp OECD dalībvalstīm, tika izmantota OECD datubāze. Lūdzam ņemt vērā, ka OECD datu portāls tika slēgts šā gada 12. jūnijā un OECD aicina izmantot “OECD Data Explorer” informācijas iegūšanai (https://data-explorer.oecd.org/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3.Šajā nozares iebildumā tiek novērots interešu konfliktu starp līdzekļu pārvaldītāja vēlmēm un klienta interesēm: līdzekļu pārvaldītājs vēlas piesaistīt arvien vairāk klientu un saņemt lielākus ienākumus par pensiju līdzekļu pārvaldīšanu, bet klients galvenokārt vēlas augstāku ieguldījumu atdevi. Papildus tam klients noteikti būtu ieinteresēts, ja pensiju pārvaldītāja lielākā izdevumu daļa būtu saistīta ar līdzekļu pārvaldīšanu nevis klientu piesaisti. Ieviešot lielāku regresivitāti maksājuma pastāvīgajā daļā, maksājuma mainīgās daļas īpatsvars palielinās. Līdz ar to pieaug līdzekļu pārvaldītāju motivācija sasniegt augstākus ieguldījumu atdeves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akcentēt, ka kopējā maksājuma pastāvīgā daļa par ieguldījumu plānu pārvaldi netiek mainīta: ieguldījumu plāniem ar ieguldījumiem kapitāla vērtspapīros un citos riska ziņā pielīdzināmos finanšu instrumentos (turpmāk – kapitāla vērtspapīri) tā ir 1.1% no ieguldījumu plāna aktīviem, savukārt, ieguldījumu plāniem bez ieguldījumiem kapitāla vērtspapīros tā ir 0.85% no ieguldījumu plāna aktīviem.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LFNA atsaucas uz OECD rekomendāciju </w:t>
            </w:r>
            <w:r w:rsidR="00000000" w:rsidRPr="00000000" w:rsidDel="00000000">
              <w:rPr>
                <w:vertAlign w:val="superscript"/>
                <w:rtl w:val="0"/>
              </w:rPr>
              <w:t xml:space="preserve">[1] </w:t>
            </w:r>
            <w:r w:rsidR="00000000" w:rsidRPr="00000000" w:rsidDel="00000000">
              <w:rPr>
                <w:rtl w:val="0"/>
              </w:rPr>
              <w:t xml:space="preserve">paredzēt iespēju VFPS ieguldījumu plānu pārvaldītājiem veikt ieguldījumus atsevišķos emitentu vērtspapīros, nekustāmā īpašuma un privāto investīciju fondos, vēl vairāk mazinot ieguldījumu un koncentrācijas ierobežojumus un Likumā noteikto ierobežojumu ietekmi uz VFPS ieguldījumu plānu darbības rezultātiem. Šī rekomendācija pēc būtības uzsver nepieciešamību palielināt VFPS ieguldījumu plānu pārvaldītāju atbildību par to, ka tie veic ieguldījumus dalībnieku interesēs, ievērojot atbilstošus pārvaldības procesus un veicot riska vadības pasākumus. Vienlaikus vēršam uzmanību, ka limitu vai formālu prasību uzlikšana pārvaldītājam nemaina tā pienākumu izvērtēt ieguldījumu piemērotību klientam.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OECD Economic Surveys LATVIA (April 2024) rekomendē: "Raise investment and concentration limits of second-pillar pension funds for single issuer assets, real estate and private investment funds, while ensuring appropriate risk management and governance processes."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1.3.sadaļas punktā “Problēmas apraksts” sniegtajai informācijai tiek ierosināta jauna panta daļas redakcija, kas paredz apzināt ieguldījumu plānu konsultantus, reģistrējot tos vienotā pārvaldītāja uzturētā reģistrā, kā arī pārvaldītāja pienākumu nodrošināt to apmācības un iegūto zināšanu kvalitatīvu pielietošanu praksē. Lūdzam papildināt anotācijas 1.3.sadaļu, norādot likumprojekta pantu, kurš paredz iepriekš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ir papildināta ar norādi, ka tā ir 11.</w:t>
            </w:r>
            <w:r w:rsidR="00000000" w:rsidRPr="00000000" w:rsidDel="00000000">
              <w:rPr>
                <w:vertAlign w:val="superscript"/>
                <w:rtl w:val="0"/>
              </w:rPr>
              <w:t xml:space="preserve">1</w:t>
            </w:r>
            <w:r w:rsidR="00000000" w:rsidRPr="00000000" w:rsidDel="00000000">
              <w:rPr>
                <w:rtl w:val="0"/>
              </w:rPr>
              <w:t xml:space="preserve"> panta sestā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3.pants, kurā veikti grozījumi likuma 10.panta pirmās daļas 6.punktā, paredz atteikties no pārskata par valsts fondēto pensiju shēmas (turpmāk – VFPS) darbību zvērināta revidenta pārbaudes un samazināt tvērumu gada pārskatam, publicējot informāciju, kura sniedz patiesu un skaidru priekšstatu par fondēto pensiju shēmas dalībniekiem, kā arī fondētajā pensiju shēmā veiktajām iemaksām un uzkrātā fondētās pensijas kapitāla pārskaitījumiem. Vienlaikus atbilstoši anotācijas 1.3.sadaļas punktā “Risinājuma apraksts” sniegtajai informācijai minētie grozījumi ir veikti, lai samazinātu izmaksas VFPS administrēšanai, kas tiek segtas no VFPS dalībnieku iemaksām, kā arī administratīvo slogu VSAA, ko veido zvērināta revidenta pakalpojumu iepirkuma organizēšana, detalizēta katra ieguldījumu plāna finanšu ieguldījumu analīze pa ieguldījumu veidiem, pēc ģeogrāfiskā izvietojuma un pa valūtas pozīcijām, kā arī praktiska palīdzība un skaidrojumu sniegšana auditoriem pārskata pārbaudes laikā. Līdz ar to nepieciešams precizēt anotācijas 3.sadaļu, norādot prognozēto ietaupījuma apmēru VFPS administrēšanas izdevumiem, attiecīgi samazinot pašreiz anotācijā norādīto nepieciešamā finansējuma apmēru VSAA izmaiņu veikšanai informācijas sistēmās. Attiecīgi precizējams MK sēdes protokollēmuma projekta 4.2.apakšpunkts.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precizēto likumprojektu (Papildinājumi Pārējas noteikumus ar 42.punktu, kas paredz attiecībā uz 10. panta pirmās daļas 6. punktā minētajiem gada pārskatiem, tā piemērošanu uzsāk ar pārskata sagatavošanu par 2025. gadu), precizēta anotācijas 3.sadaļa un attiecīgi MK protokollēmums, izsakot 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Labklājības  ministrijai atbilstoši likumprojekta “Par valsts budžetu 2026. gadam un budžeta ietvaru 2026., 2027. un 2028. gadam” sagatavošanas grafikam iesniegt attiecīgus priekšlikumus valsts sociālās apdrošināšanas speciālā budžeta ieņēmumu un izdevumu samazināšanai sociālās apdrošināšanas speciālā budžeta apakšprogrammā 04.05.00 “Valsts sociālās apdrošināšanas aģentūras speciālais budžets”, samazinot nenodokļu ieņēmumus un attiecīgi izdevumus precēm un pakalpojumiem 2026. gadā un turpmāk ik gadu 13 552 euro apmērā, lai nodrošinātu grozījumus Likuma 10.panta pirmās daļas 6.punktā, kas paredz  iespēju Valsts sociālās apdrošināšanas aģentūrai atteikties no zvērināta revidenta pārbaudes par pārskata par valsts fondēto pensiju shēmas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1.pantā iekļautais 6.</w:t>
            </w:r>
            <w:r w:rsidR="00000000" w:rsidRPr="00000000" w:rsidDel="00000000">
              <w:rPr>
                <w:vertAlign w:val="superscript"/>
                <w:rtl w:val="0"/>
              </w:rPr>
              <w:t xml:space="preserve">1</w:t>
            </w:r>
            <w:r w:rsidR="00000000" w:rsidRPr="00000000" w:rsidDel="00000000">
              <w:rPr>
                <w:rtl w:val="0"/>
              </w:rPr>
              <w:t xml:space="preserve"> pants paredz iespēju valsts fondēto pensiju shēmas dalībniekiem 5 gadus pirms likumā “Par valsts pensijām” noteiktā vecuma pensijas piešķiršanai nepieciešamā vecuma sasniegšanas pievienot uzkrāto valsts fondētās pensiju kapitālu valsts nefondētajam pensiju kapitālam un atbilstoši likumprojekta 8.pantam paredzēts, ka minētā norma stāsies spēkā 2025.gada 1.jūlijā. Atbilstoši anotācijas 3.sadaļas 6.1.apakšpunktam saistībā ar minēto normu tiek prognozēts valsts sociālās apdrošināšanas speciālā budžeta ieņēmumu palielinājums 26,8 milj. </w:t>
            </w:r>
            <w:r w:rsidR="00000000" w:rsidRPr="00000000" w:rsidDel="00000000">
              <w:rPr>
                <w:i w:val="1"/>
                <w:rtl w:val="0"/>
              </w:rPr>
              <w:t xml:space="preserve">euro</w:t>
            </w:r>
            <w:r w:rsidR="00000000" w:rsidRPr="00000000" w:rsidDel="00000000">
              <w:rPr>
                <w:rtl w:val="0"/>
              </w:rPr>
              <w:t xml:space="preserve"> apmērā 2025.gadā un 5,4 milj.</w:t>
            </w:r>
            <w:r w:rsidR="00000000" w:rsidRPr="00000000" w:rsidDel="00000000">
              <w:rPr>
                <w:i w:val="1"/>
                <w:rtl w:val="0"/>
              </w:rPr>
              <w:t xml:space="preserve"> euro</w:t>
            </w:r>
            <w:r w:rsidR="00000000" w:rsidRPr="00000000" w:rsidDel="00000000">
              <w:rPr>
                <w:rtl w:val="0"/>
              </w:rPr>
              <w:t xml:space="preserve"> apmērā 2026.gadā un turpmāk ik gadu. Nav saprotams tik ievērojams ieņēmumu palielinājums 2025.gadā, turklāt minētā likumprojekta norma būs jauna un stāsies spēkā ar 01.07.2025., kā arī prognozētais ieņēmumu apmērs 2025.gadā salīdzinoši ir ļoti liels pret 2026.gadā plānoto ieņēmumu apmēru. Līdz ar to nepieciešams papildināt anotācijas 3.sadaļas 6.</w:t>
            </w:r>
            <w:r w:rsidR="00000000" w:rsidRPr="00000000" w:rsidDel="00000000">
              <w:rPr>
                <w:vertAlign w:val="superscript"/>
                <w:rtl w:val="0"/>
              </w:rPr>
              <w:t xml:space="preserve">1</w:t>
            </w:r>
            <w:r w:rsidR="00000000" w:rsidRPr="00000000" w:rsidDel="00000000">
              <w:rPr>
                <w:rtl w:val="0"/>
              </w:rPr>
              <w:t xml:space="preserve">.apakšpunktu, sniedzot skaidrojumu, uz kā balstās LM pieņēmums, ka likumprojekta ieviešanas gadā (2025.gads) saistībā ar likumprojektā iekļauto 6.1 pantu pensijas kapitāla pievienošanas izvēli izmantos 5% no vidējā personu skaita piecās gada kohortās (t.i. attiecīgajā gadā dzimušo personu skaits) un turpmāk ik gadu - 5% no vienā kohortā vidējā personu skaita.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protokollēmuma projekta 5.punktu, Likumprojekts netiks papildināts ar 6.</w:t>
            </w:r>
            <w:r w:rsidR="00000000" w:rsidRPr="00000000" w:rsidDel="00000000">
              <w:rPr>
                <w:vertAlign w:val="superscript"/>
                <w:rtl w:val="0"/>
              </w:rPr>
              <w:t xml:space="preserve">1</w:t>
            </w:r>
            <w:r w:rsidR="00000000" w:rsidRPr="00000000" w:rsidDel="00000000">
              <w:rPr>
                <w:rtl w:val="0"/>
              </w:rPr>
              <w:t xml:space="preserve"> pantu. Nepieciešams plašāks skatījums saistībā ar pensiju 2.līmeņa attīstību, kā arī jāizvērtē sasaiste ar tendencēm, kas vērojamas citu valstu pensiju sistēmās. Izstrādājot nākošos likumprojekta grozījumus tiks meklēti papildus risinājumi saistībā ar plašākām iespējām personām rīkoties ar savu pensiju 2.līmeņa kapitālu, kā arī tiks padziļinātāk vērtēts un iespējams precizēts esošais piedāvājums un izskatīti citi alternatīvie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punktu “Cita informācija”, norādot, ka pēc likuma pieņemšanas Saeimā atbilstoši nākamā gada valsts budžeta sagatavošanas grafikam Labklājības ministrija iesniegs attiecīgu priekšlikumu valsts sociālās apdrošināšanas speciālā budžeta ieņēmumu un izdevumu palielināšanai.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3.sadaļas 10.punkts ar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atbilstoši likumprojekta “Par valsts budžetu 2026. gadam un budžeta ietvaru 2026., 2027. un 2028. gadam” sagatavošanas grafikam iesniegs attiecīgus priekšlikumus valsts sociālās apdrošināšanas speciālā budžeta ieņēmumu un izdevumu samazināšanai sociālās apdrošināšanas speciālā budžeta apakšprogrammā 04.05.00 “Valsts sociālās apdrošināšanas aģentūras speciālais budžets”, samazinot nenodokļu ieņēmumus un attiecīgi izdevumus precēm un pakalpojumiem 2026. gadā un turpmāk ik gadu 13 552 euro apmērā, lai nodrošinātu grozījumus Likums 10.panta pirmās daļas 6.punktā, kas paredz  iespēju Valsts sociālās apdrošināšanas aģentūrai atteikties no zvērināta revidenta pārbaudes par pārskata par valsts fondēto pensiju shēmas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6. sadaļā likumprojekta autoram sākumā jāatzīmē, vai likumprojektam ir jānodrošina sabiedrības līdzdalība. No anotācijā sniegtās informācijas izriet, ka sabiedrības līdzdalība nav nodrošināta. Ja likumprojektam sabiedrības līdzdalība nav nodrošināta, tad ir jāaizpilda, ka sabiedrības līdzdalība nav nodrošināta un šī izvēle ir jāpaskaidro iznirstošā laukā "Skaidrojums", ietverot atbilstošu pamatojumu. Likumprojekta anotācijā tiek norādīts, ka </w:t>
            </w:r>
            <w:r w:rsidR="00000000" w:rsidRPr="00000000" w:rsidDel="00000000">
              <w:rPr>
                <w:i w:val="1"/>
                <w:rtl w:val="0"/>
              </w:rPr>
              <w:t xml:space="preserve">atsevišķa sabiedrības līdzdalība un komunikācija par likumprojektu nav paredzēta. Stājoties spēkā likumprojektam, sabiedrība kompleksi tiks informēta par izmaiņām normatīvajā regulējumā un tā ietekmi uz ikdienu, gan izmantojot valsts iestāžu tīmekļa vietnes, gan medijus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norāda, ka 6.4. apakšpunktā minētā kārtība nesniedz pamatojumu tam kādēļ sabiedrības līdzdalība netiek nodrošināta. Lūdzam sniegt konkrētu pamatojumu kādēļ ar likumprojektu netiek nodrošināta sabiedrības līdzdalība, ņemot vērā to, ka likumprojekts skar sabiedrību un labas likumdošanas princips šādā gadījumā prasa nodrošināt sabiedrības līdzdalību, vai sniegt konkrētu pamatojumu tam kādēļ tā netiek nodrošināta.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likumprojekta anotācijas 6. sadaļas 6.2., 6.3., un 6.4. apakšpunktu norādot atbilstošu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6.sadaļa. Sabiedriskā līdzdalība par Likumprojektu norisinājās no 31.07.2024. līdz 13.08.2024. Iebildumi un priekšlikumi par Likumprojektu netika saņemti.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likumprojekta sākotnējās ietekmes novērtējuma ziņojuma sagatavošanai vienotajā tiesību aktu izstrādes un saskaņošanas portālā anotācijā ir jāsniedz informācija, kā likumprojekts ietekmēs katru no mērķgrupām – tieši vai netieši, kāds ir mērķgrupas lielums (ja to ir iespējams novērtēt), kā arī jebkādu citu skaidrojošu informāciju par mērķgrupu. Ņemot vērā minēto, lūdzam būtiski precizēt anotācijas 7. sadaļu, jo nav sniegta informācijā kā likumprojekts ietekmēs katru 7.1. apakšpunktā minēto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aizpildīt anotācijas 7.2., 7.3. un 7.4. apakšpunktu, sniedzot informāciju, vai attiecīgajām institūcijām administratīvais slogs palielināsies, samazināsies vai paliks nemainīgs. Vēršam uzmanību, ka publiskai pārvaldei slogu aprēķina sākot no 1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7.sadaļa.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fondēto pensiju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direktīvu par alternatīvo ieguldījumu pārvaldniekiem 2011/61/ES Eiropas Savienības līmenī ir noteikts zemāks administratīvo procedūru līmenis pārvaldniekiem, kuri pārvalda aktīvus, kas mazāki par 500 MEUR vai 100 MEUR gadījumos, kad tiek izmantots sviras finansējums (Direktīvas 3.pants). Dalībvalstīm ir tiesības noteikt augstākas prasības, bet Latvija līdzīgi kā vairums citu ES valstu AIF tirgus attīstības nolūkos ir pieturējusies pie šī principa, ieviešot licencēto un reģistrēto pārvaldnieku veidus, otro gadījumā - ar atvieglotām, to aktīviem atbilstošām prasībām. Tā rezultātā Regulas prasības šobrīd Latvijā attiecas tikai uz licencētiem pārvaldniekiem.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iecere attiecināt Regulas III nodaļas 3.iedaļu Riska pārvaldība arī uz reģistrētajiem pārvaldniekiem, kuros iegulda pensiju līdzekļus, radītu šādiem AIFP to izmēra dēļ neizpildāmas prasības, savukārt pensiju plāniem tiktu būtiski samazinātas iespējas investēt Latvijā ar šādu pasīvu instrumentu palīdzību. Papildus jāapzinās, ka pensiju plānu pārvaldnieku ieguldījumi nozarē pēc attīstības institūciju (Altum, EIF, EBRD) ieguldījumiem tai ir nākamais nozīmīgākais avots. Tāpat jāņem vērā, ka pensiju plāni iegulda ne tikai Latvijas AIFos, bet arī ārvalstu, kuriem tāpat vismaz atsevišķos gadījumos Regulas prasību izpilde varētu būt neiespējama.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 alternatīvu obligātās riska pārvaldības prasībās AIFP, kas saņem ieguldījumus no pensiju plāniem, tiek piedāvāts Likumā iekļaut pilnvarojumu Latvijas Bankai izstrādāt ieteikumus fondēto pensiju fondu pārvaldniekiem par ieguldīšanu AIF vai iekļaut tos Likuma tekstā. Ierosinām par pamatu šiem ieteikumiem izmantot LVCA un Finanšu nozares asociācijas kopīgi izstrādātās un LB piedāvātās vadlīnijas pensiju pārvaldniekiem ieguldījumu AIF gadījumiem.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VFPS līdzekļu ieguldījumi ir ilgtermiņa ieguldījumi, kas tiek veikti t. sk. ar alternatīvo ieguldījumu fondu (turpmāk – AIF) starpniecību, kuri var būt arī reģistrēti (nevis licencēti) AIF pārvaldnieki ar normatīvajos aktos paredzētām zemākām darbību regulējošām prasībām, piedāvātie Likuma grozījumi paredz VFPS līdzekļu pārvaldītāja pienākumu vērtēt AIF pārvaldnieka rīcību ieguldītāju interesēs gan ieguldījuma veikšanas brīdī, gan VFPS līdzekļu pārvaldniekam uzņemoties līgumisku atbildību par turpmākajiem ieguldījumiem attiecīgajā alternatīvo ieguldījumu fondā, un gūt pārliecību par to, ka AIF pārvaldnieks ir izveidojis un uztur tā darbības specifikai atbilstošu risku, t. sk. interešu konfliktu risku pārvaldības sistēmu. Pārliecības gūšana par to, ka, piemēram, reģistrēts alternatīvo ieguldījumu fondu pārvaldnieks ir izveidojis interešu konflikta pārvaldību būtu labā prakse un tieši atbilstu Valsts fondēto pensiju likuma 12. panta pirmā daļai.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sakarā tiek piedāvāts pārskatīt Likuma 12.panta pirmās daļas 5.</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Likuma 12. pantā:</w:t>
            </w:r>
            <w:r w:rsidR="00000000" w:rsidRPr="00000000" w:rsidDel="00000000">
              <w:rPr>
                <w:b w:val="1"/>
                <w:rtl w:val="0"/>
              </w:rPr>
              <w:t xml:space="preserve">papildināt pirmās daļas 5.</w:t>
            </w:r>
            <w:r w:rsidR="00000000" w:rsidRPr="00000000" w:rsidDel="00000000">
              <w:rPr>
                <w:b w:val="1"/>
                <w:vertAlign w:val="superscript"/>
                <w:rtl w:val="0"/>
              </w:rPr>
              <w:t xml:space="preserve">1</w:t>
            </w:r>
            <w:r w:rsidR="00000000" w:rsidRPr="00000000" w:rsidDel="00000000">
              <w:rPr>
                <w:b w:val="1"/>
                <w:rtl w:val="0"/>
              </w:rPr>
              <w:t xml:space="preserve"> punktu ar vārdiem "ja fondēto pensiju shēmas līdzekļu pārvaldītājs risku pārvaldības politikas ietvaros pārliecinās par to, ka esošie un turpmākie ieguldījumi alternatīvo ieguldījumu fondos atbilst ieguldījumu plāna dalībnieku interesēm, tai skaitā, ka alternatīvo ieguldījumu fonda pārvaldnieks ir izveidojis un uztur tā darbības specifikai atbilstošu risku un interešu konfliktu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Līdzekļu pārvaldītāja pienākums rīkoties ar ieguldījumu plāna līdzekļiem kā rūpīgam un gādīgam saimniekam ir nosacījums, kas izriet no personu tiesībām uz īpašumu, tāpēc attiecas uz VFPS līdzekļu pārvaldītāju kā uz jebkuru citu personu, kurai pilnībā vai daļēji uzticēti pārvaldītāja uzdevumi. Tas attiecas arī uz gadījumiem, kad VFPS līdzekļu pārvaldītājs uztic pārvaldīt citai personai daļu no ieguldījumu plānu līdzekļiem, jo pārvaldītāja uzdevumu pilnīga vai daļēja nodošana citai personai neatbrīvo viņu no pienākuma rīkoties kā gādīgam un rūpīgam saimniekam.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Viedoklis par ieteikumiem: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Ieteikumu vai vadlīniju esamība neatrisinās galveno problemātiku - izvērtēt katru ieguldīšanas gadījumu individuāli.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 uzskata, ka vadlīniju izstrāde kādam no daudziem ieguldījumu veidiem (turklāt, iespējams, kas ieguldījumu plānu portfeļos nav būtiskākais), nav lietderīgi. Latvijas Banka neiebilst, ka nozares pārstāvju izstrādā, ievieš un uztur labākās prakses standartus, tomēr uzskata, ka attiecībā uz līdzdalību to izstrādē būtu jāsaglabā neitralitāte (informēšanas līmenī), lai uzraudzības pasākumu piemērošanu balstītu uz likumdošanā noteiktajām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sakarā no anotācijas tiek svītrots attiecīgais teksts par Latvijas Bankas ieteikumiem.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fondēto pensiju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(LVCA - 29.01.2025.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Latvijas Bankas komentārus, priekšlikums ir mainīts veidā, kas sniedz papildus motivāciju veikt vietējos ieguldījumus un vienlaicīgi neveido komisiju kāpumu riskus.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Papilidnot 11.panta 5.1 daļas ievaddaļu un 1. punktu ar 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VFPL 11.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5.1 daļas ievaddaļu un 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Fondēto pensiju shēmas līdzekļu pārvaldītājam maksājumu par ieguldījumu plāna pārvaldi veido: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maksājuma pastāvīgā daļa, kas ietver maksājumus līdzekļu pārvaldītājam, līdzekļu turētājam, kā arī maksājumus trešajām personām, kurus veic no ieguldījumu plāna līdzekļiem, izņemot šīs daļas 3. punktā minētās darījuma izmaksas. Maksājuma pastāvīgā daļa nedrīkst pārsniegt vidējo svērto no šī punkta “a” un “b” apakšpunktā noteiktajiem ierobežojumiem katrai pārvaldītāja ieguldījumu plānu kopsummas daļai, kāda tā bija iepriekšējā gada 31. oktobrī,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ierobežojums par ieguldījumu plānu kopsummas daļu, kas nepārsniedz 100 miljonus euro, ir 0,6 procenti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par katru nākamo pārvaldītāja ieguldījumu plānu kopsummas daļu ar soli 100 miljonu euro šā punkta "a" apakšpunktā minēto ierobežojumu secīgi samazina par 7,5 procentiem līdz tas sasniedz 0,2 procentus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c) šī punkta “b” apakšpunktā noteiktos ierobežojumus nepiemēro par tiešajiem ieguldījumiem parāda un kapitāla vērtspapīros, kas ieguldīti MVU, un tādos alternatīvo ieguldījumu fondos (AIF), kuru parakstītais kapitāls nepārsniedz EUR 500 000 000 (AIF ieguldījumu īpatsvars tiek mērīts pēc parakstītā kapitāla).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Sanāksmes laikā tika panākta vienošanās par atbilstošāku likumprojekta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10.pantā: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(LFNA - 31.07.2024.)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pārvaldītājs no VSAA par dalībnieku saņem tikai dzimšanas gadu, kas neļauj veikt precīzu vecuma aprēķinu pārvaldniekiem. Atbilstīgākai rīcībai nepieciešams saņemt informāciju formātā dd.mm.yyyy, vecumam atbilstošā plāna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likumprojekta 3.pantu (par izmaiņām likuma 10.pantā) ar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12.punktā vārdus “dzimšanas gadu” vārdiem “dzimšanas datumu, mēnesi un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šo priekšlikumu tiks rīkotas diskusijas ar Valsts datu inspekciju, taču atbilstoši līdz šim veiktajiem norādījumiem no Valsts datu inspekcijas saistībā ar iepriekšējiem Valsts fondētā likuma grozījumiem par datu nodošanu līdzekļu pārvaldītājiem, ir rūpīgi jāizvērtē nododamie dati. Turklāt dati līdzekļu pārvaldītājiem tiek nodoti pastarpināti no Valsts sociālās apdrošināšanas aģentūras nevis pa tiešo no personas, kas būtiski ierobežo iespējas sniegt detalizētus datus, nepārkāpjot Vispārīgo datu aizsardzības regulu.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papildus apsvērums norādāms tas, ka piedāvātas izmaiņas būtiski neietekmē efektīvu saziņu un laicīgu plāna maiņas piedāvājumu, jo līdzekļu pārvaldītājiem ir iespēja brīdināt VFPS dalībniekus laicīgi, tas nav obligāti jādara pēdējā gadā, tātad pietiek ar esošo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10.pantā: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(LVCA - 30.07.2024.)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Atbilstoši jau šobrīd Likumā un Noteikumos pastāvošajam regulējumam, kuru plānots saglabāt arī pēc Likumprojekta un Noteikumu projekta pieņemšanas, maksājumu par ieguldījumu plāna pārvaldi veido fiksētā daļa un mainīgā daļa. Likumā (precizējot to ar Likumprojektu) ir noteikta fiksētā daļa, bet mainīgā daļa tiek regulēta Noteikumu līmenī.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LVCA atbalsta šādu pieeju, tomēr vēlas norādīt, ka, tā kā atskaites indeksu noteikšana deleģēta Noteikumu regulējumam, tad, lai saglabātu konsekventu tiesību normu hierarhiju šajā jautājumā, arī indeksu kombinācijas būtu regulējama tikai Noteikumu līmenī.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Tāpat arī Likuma regulējuma līmenī jāsaglabā vispārīga pieeja, jo mainoties tirgus tendencēm var tikt izstrādāti indeksi, kas nav tikai parāda un kapitāla vērtspapīru indeksi, līdz ar to, nosakot, ka indeksi un indeksu kombinācijas tiek regulētas Noteikumu līmenī, tiek saglabāts esošais princips, bet netiek iekļauti ierobežojumi attiecībā uz indeksu kombinācijām un jaunu indeksu veidu ieviešanu.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Līdz ar to, LVCA ierosina Likumprojekta 1.punktā ietvertos grozījumus attiecībā uz Likuma 11.panta 5.1 daļas 2.punktu precizēt (svītrojot punktā ietverto regulējumu attiecībā uz atskaites indeksu noteikšanu - kurš tiek noteikts kā parāda vērtspapīru un kapitāla vērtspapīru indeksu kombinācija, lai to regulētu tikai Noteikumu līmenī – kā tas jau faktiski šobrīd ir aktuālajā Noteikumu redakcijā), un izteikt to sekojošā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2)maksājuma mainīgā daļa, kas ir atlīdzība fondēto pensiju shēmas līdzekļu pārvaldītājam par ieguldījumu plāna darbības rezultātu, un tās apmērs ir atkarīgs no ieguldījumu plāna ienesīguma pārsnieguma virs atskaites indeksa. Piemērojamos atskaites indeksus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fondēto pensiju likuma 11. panta 5.</w:t>
            </w:r>
            <w:r w:rsidR="00000000" w:rsidRPr="00000000" w:rsidDel="00000000">
              <w:rPr>
                <w:vertAlign w:val="superscript"/>
                <w:rtl w:val="0"/>
              </w:rPr>
              <w:t xml:space="preserve">1</w:t>
            </w:r>
            <w:r w:rsidR="00000000" w:rsidRPr="00000000" w:rsidDel="00000000">
              <w:rPr>
                <w:rtl w:val="0"/>
              </w:rPr>
              <w:t xml:space="preserve"> daļas 2. punkts paredz vispārīgu skaidrojumu attiecībā uz maksājuma mainīgo daļu, savukārt maksājuma mainīgās daļas detalizētus un specifiskos noteikumus paredz Ministru kabineta noteikumi, proti, minētais punkts kopumā ir jālasa kā deleģējums Ministru kabinetam izdot Ministru kabineta noteikumus. Deleģējums Ministru kabinetam izdot noteikumus ir jāveido, nosakot noteikumu satura galveno virzienu aprakstu, tai skaitā, atskaites indeksu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Likumam ir skaidri jānosaka līdzekļu pārvaldītājam pienākošās atlīdzības pamatprincipi, savukārt, Ministru kabineta noteikumiem detalizētāk jāreglamentē un jāskaidro šīs atlīdzības veidi, sastāvs, specifiskie nosacījumi un aprēķina kārtība. Maksājuma mainīgās daļas atkarība no pensiju plāna ienesīguma pārsnieguma virs atskaites indeksa, kā arī tas, ka atskaites indekss tiek noteikts kā parāda vērtspapīru un kapitāla vērtspapīru indeksu kombinācijas, ir pārvaldītājam pienākošās maksājuma mainīgās daļas veidošanas pamatprincipi, kuri, pamatojoties uz izklāstīto, ir iekļauti Likumā jau šobrīd, tāpēc netiek saskatīts pamatojumu šādu izmaiņu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(LVCA - 30.07.2024.)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un Noteikumu projekts paredz lielo līdzekļu pārvaldītāju atlīdzības samazināšanu. Šāds priekšlikums stimulēs pensiju pārvaldniekus samazināt savas darbības izmaksas un izvēlēties ieguldījumus ārvalstu finanšu instrumentos, kas ir viegli pieejami un kuru transakciju izmaksas ir zemas (ieguldījumi Latvijā prasa lielākus darbaspēka un finanšu resursus kā līdzvērtīgi ieguldījumi, piemēram, ASV vai Lielbritānijā kotētos finanšu instrumentos). Rezultātā tiks sekmēta vēl lielāka kapitāla aizplūde no Latvijas, pretēji pensiju plānu dalībnieku ilgtermiņa interesēm. Ir veicināma līdzekļu ieguldīšana MVU un tādos Alternatīvo Ieguldījumu Fondos (AIF), kuru parakstītais kapitāls nepārsniedz EUR 500. Līdz ar to LVCA ierosina Likumā un Noteikumos ieviest samērīgus motivējošus mehānismus, kas mudinātu pārvaldītājus izskatīt un izmantot ieguldījumu iespējas arī tādos kapitāla tirgus segmentos un instrumentos, kas ietver augstākas izvērtēšanas un uzraudzības izmaksas, bet sniedz būtisku tiešu un netiešu (multiplicējošu) pozitīvu efektu vietējās ekonomikas attīstībai.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LVCA ierosina paredzēt tiesības pārvaldītājam palielināt atlīdzības pastāvīgo daļu proporcionāli veiktajiem ieguldījumiem šādos instrumentos, papildinot LB ierosinātās izmaiņas Likuma 11.panta 51 daļas 1.pantu ar punktu (e) šādā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līdzekļu pārvaldītājam ir tiesības palielināt maksimālo pastāvīgo komisijas maksu kā tas paredzēts šī panta punktos (a)-(d) proporcionāli ieguldījuma plāna iepriekšējā gada vidējam īpatsvaram tiešos ieguldījumos parāda un kapitāla vērtspapīros, kas ieguldīti MVU, un tādos Alternatīvo Ieguldījumu Fondos (AIF), kuru parakstītais kapitāls nepārsniedz EUR 500 000 000 (AIF ieguldījumu īpatsvars tiek mērīts pēc parakstītā kapitāla). Par katru īpatsvara procentpunktu atbilstošos ieguldījumos, pārvaldītājs ir tiesīgs palielināt maksimālo pastāvīgo komisijas maksas aprēķlināto apmēru par vienu procentu no tā, kas noteikts saskaņā ar šī panta punktiem (a)-(d), bet ne vairāk kā par 25% kopā”.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11.panta 5.1 daļas 1.pantu ar punktu (e) šādā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līdzekļu pārvaldītājam ir tiesības palielināt maksimālo pastāvīgo komisijas maksu kā tas paredzēts šī panta punktos (a)-(d) proporcionāli ieguldījuma plāna iepriekšējā gada vidējam īpatsvaram tiešos ieguldījumos parāda un kapitāla vērtspapīros, kas ieguldīti MVU, un tādos Alternatīvo Ieguldījumu Fondos (AIF), kuru parakstītais kapitāls nepārsniedz EUR 500 000 000 (AIF ieguldījumu īpatsvars tiek mērīts pēc parakstītā kapitāla). Par katru īpatsvara procentpunktu atbilstošos ieguldījumos, pārvaldītājs ir tiesīgs palielināt maksimālo pastāvīgo komisijas maksas aprēķlināto apmēru par vienu procentu no tā, kas noteikts saskaņā ar šī panta punktiem (a)-(d), bet ne vairāk kā par 25% kopā”.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instrumentiem, kuri mudina veikt ieguldījumus MVU un nelielos AIF, mainot VFPS plānu pārvaldītāju motivāciju caur Dalībnieku komisijām nevis darbības rezultātiem pēc komisijām, Latvijas Banka uzskata, ka tādā veidā Dalībnieku intereses nonāks pretrunā ar VFPS pārvaldītāju interesēm un kavēs to darbību kā gādīgiem un rūpīgiem saimniekiem. Priekšroka būtu tādiem pasākumiem, kuri paplašina finanšu instrumentu klāsta piedāvājumu Latvijas finanšu tirgū, veicina to starpniecību dažādos kolektīvos investīciju instrumentos un rada pēc iespējas labvēlīgākus apstākļus finanšu resursu piesaistei no Eiropas Savienības finanšu centriem un vienotā tirgus investoriem, kā arī vairo kvalitatīvas analītikas brīvāku pieejamību. Šādu pasākumu kopums palielinātu likviditāti Latvijas finanšu tirgū un veicinātu kopējo investīciju pievilcīgumu Latvijā, t. sk. attiecībā uz VFPS ieguldījumiem.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Fondēto pensiju shēmas līdzekļu pārvaldītājs izstrādā vienu vai vairākus fondēto pensiju shēmas līdzekļu ieguldījumu plānus – noteiktas dalībnieku mērķa grupas līdzekļu kopumu, kura pārvaldības nosacījumus pārvaldītājs paredz prospektā. Ieguldījumu plāna prospekts un fondēto pensiju shēmas dalībniekiem paredzētā pamatinformācija jeb īsi un kodolīgi apkopota galvenā informācija par ieguldījumu plānu, kas paredzēta dalībniekiem atbilstošākā ieguldījumu plāna izvēlei, ir Aģentūras un fondēto pensiju shēmas līdzekļu pārvaldītāja noslēgtā līguma neatņemama sastāvdaļa. Fondēto pensiju shēmas līdzekļu pārvaldīšanu atbilstoši ieguldījumu plānam fondēto pensiju shēmas līdzekļu pārvaldītājs ir tiesīgs veikt tikai pēc attiecīgā ieguldījumu plāna prospekta un fondēto pensiju shēmas dalībniekiem paredzētās pamatinformācijas reģistrēšanas Latvijas Bankā. Ja ieguldījumu plāna prospekts vai fondēto pensiju shēmas dalībniekiem paredzētā pamatinformācija neatbilst fondēto pensiju shēmas darbību regulējošo normatīvo aktu prasībām, Latvijas Banka atsaka to reģistrāciju.";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(LFNA - 31.07.2024.)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par pieeju kā iecerēts korekti un samērīgi risināt domstarpības par šajā daļā ietverto prasību piemērošanas interpretāciju. Lūdzam papildināt anotāciju ar attiecīgu informāciju vai papildināt normas tekstu par paredzēto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panta ceturtās daļas pirmais teikums izteikts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Fondēto pensiju shēmas līdzekļu pārvaldītājs veido vienu vai vairākus fondēto pensiju shēmas līdzekļu ieguldījumu plānus. Ieguldījumu plāns ir līdzekļu kopums, kura pārvaldīšanu nosaka ieguldījumu plāna prospekts, saskaņā ar kuru līdzekļu pārvaldītājs veic ieguldījumu plāna dalībnieka līdzekļu pārvaldīšanu.”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saskaņošanas procesā izteikto lūgumu papildināt anotāciju ar attiecīgu informāciju par paredzēto risinājumu normas piemērošanā, ir papildināta anotācija (skat. “Problēmas un risinājumi” attiecīgi d) apakšpunktus)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Fondēto pensiju shēmas līdzekļu pārvaldītājs veido vienu vai vairākus fondēto pensiju shēmas līdzekļu ieguldījumu plānus. Ieguldījumu plāns ir līdzekļu kopums, kura pārvaldīšanu nosaka ieguldījumu plāna prospekts, saskaņā ar kuru līdzekļu pārvaldītājs veic ieguldījumu plāna dalībnieka līdzekļu pārvaldīšanu. Ieguldījumu plāna prospekts un fondēto pensiju shēmas dalībniekiem paredzētā pamatinformācija jeb īsi un kodolīgi apkopota galvenā informācija par ieguldījumu plānu, kas paredzēta dalībniekiem atbilstošākā ieguldījumu plāna izvēlei, ir Aģentūras un fondēto pensiju shēmas līdzekļu pārvaldītāja noslēgtā līguma neatņemama sastāvdaļa. Fondēto pensiju shēmas līdzekļu pārvaldīšanu atbilstoši ieguldījumu plānam fondēto pensiju shēmas līdzekļu pārvaldītājs ir tiesīgs veikt tikai pēc attiecīgā ieguldījumu plāna prospekta un fondēto pensiju shēmas dalībniekiem paredzētās pamatinformācijas reģistrēšanas Latvijas Bankā. Ja ieguldījumu plāna prospekts vai fondēto pensiju shēmas dalībniekiem paredzētā pamatinformācija neatbilst fondēto pensiju shēmas darbību regulējošo normatīvo aktu prasībām, Latvijas Banka atsaka to reģistrāciju.";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5.</w:t>
            </w:r>
            <w:r w:rsidR="00000000" w:rsidRPr="00000000" w:rsidDel="00000000">
              <w:rPr>
                <w:vertAlign w:val="superscript"/>
                <w:rtl w:val="0"/>
              </w:rPr>
              <w:t xml:space="preserve">1</w:t>
            </w:r>
            <w:r w:rsidR="00000000" w:rsidRPr="00000000" w:rsidDel="00000000">
              <w:rPr>
                <w:rtl w:val="0"/>
              </w:rPr>
              <w:t xml:space="preserve"> daļas ievaddaļu un 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Fondēto pensiju shēmas līdzekļu pārvaldītājam maksājumu par ieguldījumu plāna pārvaldi veido: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maksājuma pastāvīgā daļa, kas ietver maksājumus līdzekļu pārvaldītājam, līdzekļu turētājam, kā arī maksājumus trešajām personām, kurus veic no ieguldījumu plāna līdzekļiem, izņemot šīs daļas 3. punktā minētās darījuma izmaksas. Maksājuma pastāvīgā daļa nedrīkst pārsniegt vidējo svērto no šī punkta “a” un “b” apakšpunktā noteiktajiem ierobežojumiem katrai pārvaldītāja ieguldījumu plānu kopsummas daļai, kāda tā bija iepriekšējā gada 30. novembrī,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ierobežojums par ieguldījumu plānu kopsummas daļu, kas nepārsniedz 100 miljonus </w:t>
            </w:r>
            <w:r w:rsidR="00000000" w:rsidRPr="00000000" w:rsidDel="00000000">
              <w:rPr>
                <w:i w:val="1"/>
                <w:rtl w:val="0"/>
              </w:rPr>
              <w:t xml:space="preserve">euro</w:t>
            </w:r>
            <w:r w:rsidR="00000000" w:rsidRPr="00000000" w:rsidDel="00000000">
              <w:rPr>
                <w:rtl w:val="0"/>
              </w:rPr>
              <w:t xml:space="preserve">, ir 0,6 procenti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par katru nākamo pārvaldītāja ieguldījumu plānu kopsummas daļu ar soli 100 miljonu </w:t>
            </w:r>
            <w:r w:rsidR="00000000" w:rsidRPr="00000000" w:rsidDel="00000000">
              <w:rPr>
                <w:i w:val="1"/>
                <w:rtl w:val="0"/>
              </w:rPr>
              <w:t xml:space="preserve">euro</w:t>
            </w:r>
            <w:r w:rsidR="00000000" w:rsidRPr="00000000" w:rsidDel="00000000">
              <w:rPr>
                <w:rtl w:val="0"/>
              </w:rPr>
              <w:t xml:space="preserve"> šā punkta "a" apakšpunktā minēto ierobežojumu secīgi samazina par 7,5 procentiem līdz tas sasniedz 0,2 procentus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(LFNA - 31.07.2024.)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Aicināms apsvērt kā vērtības noteikšanas datumu noteikt 30. septembri nevis 30. novembri. Ilgāks periods dotu vairāk laika līdzekļu pārvaldītājam sagatavot nepieciešamās izmaiņas datorsistēmās un dalībniekiem paredzētajos informatīvajos materiālos, vienlaikus maksājuma pastāvīgās daļas noteikšanas koncepcijas būtību tas nemainītu.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likumprojekta 4.pantā piedāvātajā 11.panta 5.</w:t>
            </w:r>
            <w:r w:rsidR="00000000" w:rsidRPr="00000000" w:rsidDel="00000000">
              <w:rPr>
                <w:vertAlign w:val="superscript"/>
                <w:rtl w:val="0"/>
              </w:rPr>
              <w:t xml:space="preserve">1</w:t>
            </w:r>
            <w:r w:rsidR="00000000" w:rsidRPr="00000000" w:rsidDel="00000000">
              <w:rPr>
                <w:rtl w:val="0"/>
              </w:rPr>
              <w:t xml:space="preserve"> daļas 1. punktā vārdu “novembrī” ar vārdu “septembrī”.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Sanāksmes laikā tika panākta vienošanās par datumu maiņu saistībā ar komisijas maksu regulējumu uz 31. oktobri, attiecīgi arī precizēts 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5.</w:t>
            </w:r>
            <w:r w:rsidR="00000000" w:rsidRPr="00000000" w:rsidDel="00000000">
              <w:rPr>
                <w:vertAlign w:val="superscript"/>
                <w:rtl w:val="0"/>
              </w:rPr>
              <w:t xml:space="preserve">1</w:t>
            </w:r>
            <w:r w:rsidR="00000000" w:rsidRPr="00000000" w:rsidDel="00000000">
              <w:rPr>
                <w:rtl w:val="0"/>
              </w:rPr>
              <w:t xml:space="preserve"> daļas ievaddaļu un 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Fondēto pensiju shēmas līdzekļu pārvaldītājam maksājumu par ieguldījumu plāna pārvaldi veido: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maksājuma pastāvīgā daļa, kas ietver maksājumus līdzekļu pārvaldītājam, līdzekļu turētājam, kā arī maksājumus trešajām personām, kurus veic no ieguldījumu plāna līdzekļiem, izņemot šīs daļas 3. punktā minētās darījuma izmaksas. Maksājuma pastāvīgā daļa nedrīkst pārsniegt vidējo svērto no šī punkta “a” un “b” apakšpunktā noteiktajiem ierobežojumiem katrai pārvaldītāja ieguldījumu plānu kopsummas daļai, kāda tā bija iepriekšējā gada 31. oktobrī,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ierobežojums par ieguldījumu plānu kopsummas daļu, kas nepārsniedz 100 miljonus </w:t>
            </w:r>
            <w:r w:rsidR="00000000" w:rsidRPr="00000000" w:rsidDel="00000000">
              <w:rPr>
                <w:i w:val="1"/>
                <w:rtl w:val="0"/>
              </w:rPr>
              <w:t xml:space="preserve">euro</w:t>
            </w:r>
            <w:r w:rsidR="00000000" w:rsidRPr="00000000" w:rsidDel="00000000">
              <w:rPr>
                <w:rtl w:val="0"/>
              </w:rPr>
              <w:t xml:space="preserve">, ir 0,6 procenti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par katru nākamo pārvaldītāja ieguldījumu plānu kopsummas daļu ar soli 100 miljonu </w:t>
            </w:r>
            <w:r w:rsidR="00000000" w:rsidRPr="00000000" w:rsidDel="00000000">
              <w:rPr>
                <w:i w:val="1"/>
                <w:rtl w:val="0"/>
              </w:rPr>
              <w:t xml:space="preserve">euro</w:t>
            </w:r>
            <w:r w:rsidR="00000000" w:rsidRPr="00000000" w:rsidDel="00000000">
              <w:rPr>
                <w:rtl w:val="0"/>
              </w:rPr>
              <w:t xml:space="preserve"> šā punkta "a" apakšpunktā minēto ierobežojumu secīgi samazina par 7,5 procentiem līdz tas sasniedz 0,2 procentus gadā.”;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5.</w:t>
            </w:r>
            <w:r w:rsidR="00000000" w:rsidRPr="00000000" w:rsidDel="00000000">
              <w:rPr>
                <w:vertAlign w:val="superscript"/>
                <w:rtl w:val="0"/>
              </w:rPr>
              <w:t xml:space="preserve">1</w:t>
            </w:r>
            <w:r w:rsidR="00000000" w:rsidRPr="00000000" w:rsidDel="00000000">
              <w:rPr>
                <w:rtl w:val="0"/>
              </w:rPr>
              <w:t xml:space="preserve"> daļu ar 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darījuma izmaksas, kas ir saistītas ar ieguldījumu plāna ieguldījumu portfelī esoša aktīva iegādi vai atsavināšanu un kas ir minētas Komisijas 2017. gada 8. marta Deleģētās regulas (ES) 2017/653, ar ko papildina Eiropas Parlamenta un Padomes Regulu (ES) Nr. 1286/2014 par komplektētu privāto ieguldījumu un apdrošināšanas ieguldījumu produktu (PRIIP) pamatinformācijas dokumentiem, nosakot regulatīvos tehniskos standartus attiecībā uz pamatinformācijas dokumentu noformējumu, saturu, pārskatīšanu un pārstrādāšanu un šādu dokumentu sniegšanas prasību izpildes nosacījumiem VI pielikumā.”;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(LFNA - 31.07.2024.)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projektā kā darījuma izmaksas, kas veido maksājumu pārvaldītājam par ieguldījumu plāna pārvaldi, ir noteiktas izmaksas, kas saistītas ar ieguldījumu plāna portfelī esoša aktīva iegādi vai atsavināšanu un kas ir minēta regulas 2017/653 VI. Pielikumā. Regulas VI pielikumā (5.p.h) kā viens no regulāro izmaksu veidiem ir noteiktas finansēšanas izmaksas, kas saistītas ar aizņēmumu, ko sniegušas saistītas personas. Kredītlīnija no saistīta uzņēmuma atbilst PRIIP VI pielikumā noteiktajam regulāro izmaksu veidam, bet kredītlīnija pēc būtības var ne vienmēr būt saistīta ar konkrēta plāna aktīva iegādi vai atsavināšanu. Lai ierobežotu risku par dažādu likuma grozījumu projektā noteikto darījuma izmaksu interpretāciju, ierosinām precizēt piedāvāto likuma 11.panta 5.</w:t>
            </w:r>
            <w:r w:rsidR="00000000" w:rsidRPr="00000000" w:rsidDel="00000000">
              <w:rPr>
                <w:vertAlign w:val="superscript"/>
                <w:rtl w:val="0"/>
              </w:rPr>
              <w:t xml:space="preserve">1</w:t>
            </w:r>
            <w:r w:rsidR="00000000" w:rsidRPr="00000000" w:rsidDel="00000000">
              <w:rPr>
                <w:rtl w:val="0"/>
              </w:rPr>
              <w:t xml:space="preserve"> daļas 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darījuma izmaksas, kas ir saistītas ar ieguldījumu plāna ieguldījumu portfelī esoša aktīva iegādi vai atsavināšanu, </w:t>
            </w:r>
            <w:r w:rsidR="00000000" w:rsidRPr="00000000" w:rsidDel="00000000">
              <w:rPr>
                <w:u w:val="single"/>
                <w:rtl w:val="0"/>
              </w:rPr>
              <w:t xml:space="preserve">vai</w:t>
            </w:r>
            <w:r w:rsidR="00000000" w:rsidRPr="00000000" w:rsidDel="00000000">
              <w:rPr>
                <w:rtl w:val="0"/>
              </w:rPr>
              <w:t xml:space="preserve">  kas ir minētas Komisijas 2017. gada 8. marta Deleģētās regulas (ES) 2017/653, ar ko papildina Eiropas Parlamenta un Padomes Regulu (ES) Nr. 1286/2014 par komplektētu privāto ieguldījumu un apdrošināšanas ieguldījumu produktu (PRIIP) pamatinformācijas dokumentiem, nosakot regulatīvos tehniskos standartus attiecībā uz pamatinformācijas dokumentu noformējumu, saturu, pārskatīšanu un pārstrādāšanu un šādu dokumentu sniegšanas prasību izpildes nosacījumiem VI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11.panta 5.</w:t>
            </w:r>
            <w:r w:rsidR="00000000" w:rsidRPr="00000000" w:rsidDel="00000000">
              <w:rPr>
                <w:vertAlign w:val="superscript"/>
                <w:rtl w:val="0"/>
              </w:rPr>
              <w:t xml:space="preserve">1</w:t>
            </w:r>
            <w:r w:rsidR="00000000" w:rsidRPr="00000000" w:rsidDel="00000000">
              <w:rPr>
                <w:rtl w:val="0"/>
              </w:rPr>
              <w:t xml:space="preserve"> daļa ar 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darījuma izmaksas, kas ir saistītas ar ieguldījumu plāna ieguldījumu portfelī esoša aktīva iegādi vai atsavināšanu un kas ir minētas Komisijas 2017. gada 8. marta Deleģētās regulas (ES) 2017/653, ar ko papildina Eiropas Parlamenta un Padomes Regulu (ES) Nr. 1286/2014 par komplektētu privāto ieguldījumu un apdrošināšanas ieguldījumu produktu (PRIIP) pamatinformācijas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dokumentiem, nosakot regulatīvos tehniskos standartus attiecībā uz pamatinformācijas dokumentu noformējumu, saturu, pārskatīšanu un pārstrādāšanu un šādu dokumentu sniegšanas prasību izpildes nosacījumiem,  VI pielikuma 5. punkta j)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atzīmēt, VFPL aizliedz ņemt aizņēmumus uz ieguldījumu plāna rēķina, izņemot aizņēmumus īslaicīgas likviditātes nodrošināšanai uz laiku līdz trim mēnešiem, tāpēc nesaskatām pamatojumu kredītlīnijas izmantošanai konkrēta plāna aktīva iegādei vai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5.</w:t>
            </w:r>
            <w:r w:rsidR="00000000" w:rsidRPr="00000000" w:rsidDel="00000000">
              <w:rPr>
                <w:vertAlign w:val="superscript"/>
                <w:rtl w:val="0"/>
              </w:rPr>
              <w:t xml:space="preserve">1</w:t>
            </w:r>
            <w:r w:rsidR="00000000" w:rsidRPr="00000000" w:rsidDel="00000000">
              <w:rPr>
                <w:rtl w:val="0"/>
              </w:rPr>
              <w:t xml:space="preserve"> daļu ar 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darījuma izmaksas, kas ir saistītas ar ieguldījumu plāna ieguldījumu portfelī esoša aktīva iegādi vai atsavināšanu un kas ir minētas Komisijas 2017. gada 8. marta Deleģētās regulas (ES) 2017/653, ar ko papildina Eiropas Parlamenta un Padomes Regulu (ES) Nr. 1286/2014 par komplektētu privāto ieguldījumu un apdrošināšanas ieguldījumu produktu (PRIIP) pamatinformācijas dokumentiem, nosakot regulatīvos tehniskos standartus attiecībā uz pamatinformācijas dokumentu noformējumu, saturu, pārskatīšanu un pārstrādāšanu un šādu dokumentu sniegšanas prasību izpildes nosacījumiem,  VI pielikuma 5. punkta j) apakšpunktā.”;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(LFNA - 31.07.2024.)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turpmāko rīcību saziņas vešanas jautājumā ar dalībniekiem. Lūdzam apsvērt praktisku risinājumu par saziņu ar dalībniekiem, kam nav aktuālas kontaktinformācijas vai sasziņa jāveic sūtot papīra vēstules – Asociācija un citi  tirgus dalībnieki par minēto problēmu jau vairākkārt vērsušies pie kompetentajām institūcijām. Par minēto jautājumu tika nosūtīta arī kopīga vēstule šā gada 26.martā. Vienlaikus šeti jāvērš arī uzmanība uz OECD pētījumā (</w:t>
            </w:r>
            <w:r w:rsidR="00000000" w:rsidRPr="00000000" w:rsidDel="00000000">
              <w:rPr>
                <w:i w:val="1"/>
                <w:rtl w:val="0"/>
              </w:rPr>
              <w:t xml:space="preserve">skat. https://www.oecd-ilibrary.org/deliver/dfeae75b-en.pdf?itemId=%2Fcontent%2Fpublication%2Fdfeae75b-en&amp;mimeType=pdf</w:t>
            </w:r>
            <w:r w:rsidR="00000000" w:rsidRPr="00000000" w:rsidDel="00000000">
              <w:rPr>
                <w:rtl w:val="0"/>
              </w:rPr>
              <w:t xml:space="preserve">) sniegto norādi par administratīvā regulējuma slogu pensiju pārvaldīšanas regulējumā (citiem vārdiem sakot nepieciešams racionāls un ilgtspējīgs risinājums attiecīgajai problēmai).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tika papildināta ar sekojošo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vēl nav izstrādāts tehnisks risinājums, lai līdzekļu pārvaldītājiem būtu iespēja sazināties ar VFPS dalībniekiem caur e-adresi, līdz brīdim kamēr risinājums tiks rasts, līdzekļu pārvaldītāji ar VFPS dalībniekiem var sazināties nosūtot informāciju uz deklarēto dzīvesvietas adresi.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sazinoties ar VARAM pārstāvjiem, tika sniegta informācija, ka šobrīd izstrādes procesā ir normatīvais regulējums, kas ļaus līdzekļu pārvaldītājiem izmantot e-adreses pakalpojumu. Stājoties spēkā normatīvajam regulējumam, tiks uzsākts darbs pie tehniskā risinājuma.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(LVCA - 30.07.2024.)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Vienlaicīgi ar fondēto pensiju shēmas līdzekļu pārvaldītāju atlīdzības samazināšanu, kā to paredz Likumprojekts un Noteikumu projekts, būtu nepieciešama arī Likuma 12.3 panta turpmāka, pārdomāta attīstība, lai radītu priekšnoteikumus sekmīgu ieguldījumu veikšanai Latvijā un nodrošinātu Latvijas kapitāla tirgus tālāku attīstību, paturot prātā, ka nav pieļaujama tiešu nesamērīgu ierobežojumu uzlikšana brīvai kapitāla apritei.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iepriekš minēto, LVCA uzskata, ka šāds mērķis būtu pakāpeniski sasniedzams izstrādājot vēlamo (nesaistošu) nacionālo ieguldījumu apjomu un paplašinot informēšanas pienākumu, līdz ar to, tiek ierosināts izteikt Likuma 12.3panta 2.punktu sekojošā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gada pārskatā tiek norādīti plānotie mērķi un sasniegtie rezultāti par fondēto pensiju shēmas līdzekļu ieguldīšanu Latvijā, kā arī informācija par to, vai vismaz 20% no ieguldījumu plāna līdzekļiem ir ieguldīti Latvijas Republikā, un, ja ir ieguldīts mazāks apjoms, tad izvērstu skaidrojumu par iemesliem vai šķēršļiem, kas liedzis veikt ieguldījumus vismaz 20% apmērā.”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 informēšanas pienākuma ieviešana veicinātu pensiju plānu pārvaldniekus izvērtēt iespējas izvietot ieguldījumus nacionālā līmenī, tas būtu efektīvs kritērijs pensiju plānu dalībniekiem ieguldījumu plānu salīdzināšanā, kā arī sniegtu efektīvu informāciju likumdevējam par nepieciešamo rīcību, lai sekmētu Latvijas kapitāla tirgus pievilcību.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Likuma 12.3panta 2.punktu sekojošā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gada pārskatā tiek norādīti plānotie mērķi un sasniegtie rezultāti par fondēto pensiju shēmas līdzekļu ieguldīšanu Latvijā, kā arī informācija par to, vai vismaz 20% no ieguldījumu plāna līdzekļiem ir ieguldīti Latvijas Republikā, un, ja ir ieguldīts mazāks apjoms, tad izvērstu skaidrojumu par iemesliem vai šķēršļiem, kas liedzis veikt ieguldījumus vismaz 20% apmērā.”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novērtētu ieguldījumu Latvijā ietekmi uz valsts ekonomiku un Valsts fondēto pensiju shēmas dalībnieku pensijas kapitāla ienesīgumu, sanāksmes laikā dalībnieki vienojās par iespējamo diskusijas organizēšanu saistībā ar ieguldījumu Latvijā ietekmi uz valsts ekonomiku un Valsts fondēto pensiju shēmas dalībnieku pensijas kapitāla ienesīgumu pēc Latvijas Bankas pētījuma noslēguma.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devīto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Ieguldījumu plāna ieguldījumi kapitāla vērtspapīriem riska ziņā pielīdzināmos vērtspapīros ir ieguldījumi ar ieguldījumu fondu un alternatīvo ieguldījumu fondu starpniecību, kas ietver ieguldījumus riska ieguldījumu fondos, privātā kapitāla fondos un tādos nekustamā īpašuma fondos, kuru sviras finansējums ir vienāds vai lielāks par 50 procentiem no to neto aktīvu 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(LFNA - 31.07.2024.)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interpretācijas riskus, aicinām precizēt piedāvātās normas izklāstu tiesiskai skaidrībai.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likumprojekta 7.pantā (par izmaiņām likuma 12.pantā) piedāvāto devīto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Ieguldījumu plāna ieguldījumi kapitāla vērtspapīriem riska ziņā pielīdzināmos vērtspapīros ir ieguldījumi: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ieguldījumu fondos, kuri var veikt ieguldījumus kapitāla vērtspapīros;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iespējkapitāla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alternatīvo ieguldījumu fondos, kuri var veikt ieguldījumus komercsabiedrību kapitālā, tai skaitā iespējkapitāla tirgus ieguldījumus;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nekustamā īpašuma fondos, kuru sviras finansējums ir vienāds vai lielāks par 50 procentiem no to neto aktīvu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LFNA piedāvātā redakcija netiks izmantota, tad priekšlikums netiek ņemts vērā. Taču sanāksmes laikā tika norādīts, ka no Latvijas Bankas puses ir sniegts skaidrojums par šo normu un priekšlikumā sniegtā problēma ir atrisināta.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devītās daļas redakcija ir pietiekami skaidra un izsmeļoša, jo tiešie ieguldījumi iespējkapitāla tirgū ir ieguldījumi portfeļuzņēmuma kapitāla instrumentos, savukārt netiešie ar AIF starpniecību ir ieguldījumi privātā kapitāla fondos atbilstoši Regulā Nr.231 definētajai ieguldījumu stratēģijai. Piedāvātās definīcijas mērķis bija skaidrot kapitāla vērtspapīriem riska ziņā pielīdzināmos finanšu instrumentus, nevis skaidrot terminu "kapitāla vērtspapīri".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devīto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Ieguldījumu plāna ieguldījumi kapitāla vērtspapīriem riska ziņā pielīdzināmos vērtspapīros ir ieguldījumi ar ieguldījumu fondu un alternatīvo ieguldījumu fondu starpniecību, kas ietver ieguldījumus riska ieguldījumu fondos, privātā kapitāla fondos un tādos nekustamā īpašuma fondos, kuru sviras finansējums ir vienāds vai lielāks par 50 procentiem no to neto aktīvu vērtības."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devīto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Ieguldījumu plāna ieguldījumi kapitāla vērtspapīriem riska ziņā pielīdzināmos vērtspapīros ir ieguldījumi ar ieguldījumu fondu un alternatīvo ieguldījumu fondu starpniecību, kas ietver ieguldījumus riska ieguldījumu fondos, privātā kapitāla fondos un tādos nekustamā īpašuma fondos, kuru sviras finansējums ir vienāds vai lielāks par 50 procentiem no to neto aktīvu 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(LVCA - 30.07.2024.)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precizē dažādu ieguldījumu savstarpējo pielīdzināmību, precizējot, ka noteicošais faktors ir riska ziņā konstatējama pielīdzināmība. Minētā ietvaros, Likumprojektā, arī saistībā ar to, ka tiks izslēgti atsevišķi Pārejas noteikumi, kas to pastarpināti regulēja līdz šim, paredzēts noteikt, ka kapitāla vērtspapīriem riska ziņā pielīdzināmos ieguldījumus (Likumprojekta 3.punktā minētais papildinājums attiecībā uz Likuma 12.panta devīto daļu).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LVCA piekrīt, ka ir svarīgi noteikt pielīdzināmības kritērijus risku ziņā, līdz ar vienlaicīgi būtu svarīgi noteikt arī kritērijus, kas, riska ziņā, ļautu ieguldījumus pielīdzināt parāda vērtspapīriem.  LVCA ierosina papildināt Likumprojekta 3.punktu, nosakot, ka Likums tiek papildināts arī ar desmito daļu šādā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Ieguldījumu plāna ieguldījumi parāda vērtspapīriem riska ziņā pielīdzināmos vērtspapīros ir ieguldījumi ar ieguldījumu fondu un alternatīvo ieguldījumu fondu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starpniecību, kas ietver parāda vērtspapīru fondus, privātā kredīta fondus un tādus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 īpašuma fondus, kuru sviras finansējums ir mazāks par 50 procentiem no to neto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aktīvu vērtības, un un šādu fondu stratēģija neparedz aizdevumus, kas konvertējami pret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kapitāla vērtspapīriem termiņa beigās.”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LVCA piedāvātā redakcija netiks izmantota, tad priekšlikums netiek ņemts vērā, taču 2024.gada 25.oktobra sanāksmes laikā Latvijas Bankas pārstāvji norādīja, ka ir snieguši skaidrojumu LVCA saistībā ar šo normu un līdz ar to priekšlikunā izteiktā problēma ir atrisināta.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piedāvātā redakcija (Likuma 12. panta devīto daļa) skaidri nosaka, kādi ieguldījumi ir pielīdzināmi kapitāla vērtspapīru vai tiem riska ziņā pielīdzināmu finanšu instrumentu klasei, nosakot, ka tie ir ieguldījumi ar ieguldījumu fondu un alternatīvo ieguldījumu fondu starpniecību, t. sk. ieguldījumi riska ieguldījumu fondos, privātā kapitāla fondos un nekustamā īpašuma fondos, kuru sviras finansējums ir vienāds vai lielāks par 50% no to neto aktīvu vērtības. Tas nozīmē, ka ieguldījumi, kuri ir veikti ar ieguldījumu fondu un alternatīvo ieguldījumu fondu starpniecību, bet kuri nav minēti kā pielīdzināmi kapitāla vērtspapīru klasei, nav uzskatāmi par kapitāla vērtspapīriem riska ziņā pielīdzināmiem ieguldījumiem. Pamatojoties uz šiem apsvērumiem, kā arī uz to, ka jēdziens "parāda vērtspapīriem riska ziņā pielīdzināmi vērtspapīri" Likumā netiek lietots, priekšlikums nav atbalstāms.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devīto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Ieguldījumu plāna ieguldījumi kapitāla vērtspapīriem riska ziņā pielīdzināmos vērtspapīros ir ieguldījumi ar ieguldījumu fondu un alternatīvo ieguldījumu fondu starpniecību, kas ietver ieguldījumus riska ieguldījumu fondos, privātā kapitāla fondos un tādos nekustamā īpašuma fondos, kuru sviras finansējums ir vienāds vai lielāks par 50 procentiem no to neto aktīvu vērtības."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10. panta pirmās daļas 6. punktā minētajiem gada pārskatiem tā piemērošanu uzsāk ar pārskata sagatavošanu par 2025.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- 11.11.2024.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7.punkts paredz papildināt likuma pārejas noteikumus ar 41. punktu šādā redakcijā, nosakot, ka attiecībā uz 10. panta pirmās daļas 6. punktā minētajiem gada pārskatiem tā piemērošanu uzsāk ar pārskata sagatavošanu par 2025.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konkrētu datumu, ar kuru uzsāk 10. panta pirmās daļas 6. punktā minētajo gada pārskatu piemērošanu.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nav iespējams norādīt konkrētu datumu, jo tekošajā gadā notiek pārskatu sagatavošana par iepriekšējo gadu un sagatavošanas process katru gadu var tikt uzsākts dažādos datumos, t.i. tajā mirklī kad VSAA ir apkopojusi un sagatavojusi visus nepieciešamos datus pārskata sagatavošanai. Tas nozīmē ka 2026. gadā uzsākot pārskatu gatavošanu par 2025. gadu tiks piemērota pārejas norma (pārejas noteikumu 41. punkts). Līdz ar to ir precizēta likumprojekta norma norādot, ka attiecībā uz 10. panta pirmās daļas 6. punktā minētajiem gada pārskatiem tā piemērošanu uzsāk </w:t>
            </w:r>
            <w:r w:rsidR="00000000" w:rsidRPr="00000000" w:rsidDel="00000000">
              <w:rPr>
                <w:b w:val="1"/>
                <w:rtl w:val="0"/>
              </w:rPr>
              <w:t xml:space="preserve">2026. gadā</w:t>
            </w:r>
            <w:r w:rsidR="00000000" w:rsidRPr="00000000" w:rsidDel="00000000">
              <w:rPr>
                <w:rtl w:val="0"/>
              </w:rPr>
              <w:t xml:space="preserve"> ar pārskata sagatavošanu par 2025.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Attiecībā uz šā likuma 10. panta pirmās daļas 6. punktā minētajiem gada pārskatiem tā piemērošanu uzsāk 2027. gadā ar pārskata sagatavošanu par 2026.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40.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Šā likuma 6.</w:t>
            </w:r>
            <w:r w:rsidR="00000000" w:rsidRPr="00000000" w:rsidDel="00000000">
              <w:rPr>
                <w:vertAlign w:val="superscript"/>
                <w:rtl w:val="0"/>
              </w:rPr>
              <w:t xml:space="preserve">1</w:t>
            </w:r>
            <w:r w:rsidR="00000000" w:rsidRPr="00000000" w:rsidDel="00000000">
              <w:rPr>
                <w:rtl w:val="0"/>
              </w:rPr>
              <w:t xml:space="preserve"> pants stājas spēkā 2025. gada 1. jūlijā.”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anotāciju ietverot pamatojumu, tam kādēļ likumprojekts paredz citu spēkā stāšanās laiku likuma 6.</w:t>
            </w:r>
            <w:r w:rsidR="00000000" w:rsidRPr="00000000" w:rsidDel="00000000">
              <w:rPr>
                <w:vertAlign w:val="superscript"/>
                <w:rtl w:val="0"/>
              </w:rPr>
              <w:t xml:space="preserve">1</w:t>
            </w:r>
            <w:r w:rsidR="00000000" w:rsidRPr="00000000" w:rsidDel="00000000">
              <w:rPr>
                <w:rtl w:val="0"/>
              </w:rPr>
              <w:t xml:space="preserve"> pantam, ņemot vērā to, ka tiek noteikts, ka likuma 6.</w:t>
            </w:r>
            <w:r w:rsidR="00000000" w:rsidRPr="00000000" w:rsidDel="00000000">
              <w:rPr>
                <w:vertAlign w:val="superscript"/>
                <w:rtl w:val="0"/>
              </w:rPr>
              <w:t xml:space="preserve">1</w:t>
            </w:r>
            <w:r w:rsidR="00000000" w:rsidRPr="00000000" w:rsidDel="00000000">
              <w:rPr>
                <w:rtl w:val="0"/>
              </w:rPr>
              <w:t xml:space="preserve"> pants stājas spēkā 2025. gada 1. jūlijā, taču pārējie grozījumi stājas spēkā 2025.gada 1.janvārī.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protokollēmuma projekta 5.punktu, Likumprojekts netiks papildināts ar 6.</w:t>
            </w:r>
            <w:r w:rsidR="00000000" w:rsidRPr="00000000" w:rsidDel="00000000">
              <w:rPr>
                <w:vertAlign w:val="superscript"/>
                <w:rtl w:val="0"/>
              </w:rPr>
              <w:t xml:space="preserve">1</w:t>
            </w:r>
            <w:r w:rsidR="00000000" w:rsidRPr="00000000" w:rsidDel="00000000">
              <w:rPr>
                <w:rtl w:val="0"/>
              </w:rPr>
              <w:t xml:space="preserve"> pantu. Nepieciešams plašāks skatījums saistībā ar pensiju 2.līmeņa attīstību, kā arī jāizvērtē sasaiste ar tendencēm, kas vērojamas citu valstu pensiju sistēmās. Izstrādājot nākošos likumprojekta grozījumus tiks meklēti papildus risinājumi saistībā ar plašākām iespējām personām rīkoties ar savu pensiju 2.līmeņa kapitālu, kā arī tiks padziļinātāk vērtēts un iespējams precizēts esošais piedāvājums un izskatīti citi alternatīvie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 anotācijā iekļauto Satversmības izvērtējumu un papildināt to ar izvērtējumu attiecībā uz to kā paredzētais regulējums ietekmēs mantojuma atstājēja kreditorus - skaidrojot, kādēļ šāds regulējums arī attiecībā arī uz kreditoru pamattiesību ierobežojumu būtu uzskatāms par samērīgu un Satversmei atbilstošu.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par tiesību projektu atbilstību Satversmei ir atbildīgs tā izstrādātājs, līdz ar to, lai nerastos šaubu par šī likumprojekta atbilstību Satversmei, lūdzam anotāciju tomēr papildināt arī ar augstāk lūgto pamatojumu.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likumprojekta 8.pantam paredzēts papildināt pārejas noteikumus ar 41.punktu, nosakot, ka attiecībā uz šā likuma 10.panta pirmās daļas 6.punktā minētajiem gada pārskatiem tā piemērošanu uzsāk 2027.gadā ar pārskata sagatavošanu par 2026.gadu, lūdzam precizēt anotācijas 3.sadaļā un MK sēdes protokollēmuma projekta 4.punktā norādīto gadu (no 2026.gada uz 2027.gadu), sākot ar kuru saistībā ar minētās normas nodrošināšanu plānots nenodokļu ieņēmumu un attiecīgo izdevumu samazinājums 13 552 euro apmērā valsts sociālās apdrošināšanas speciālā budžeta apakšprogrammā 04.05.00 “Valsts sociālās apdrošināšanas aģentūras speciālais budžets”.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un MK sēdes protokollēmuma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(LFNA - 31.07.2024.)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"6.2. detalizēts izdevumu aprēķins"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papildināt anotāciju, jo nav saprotams, kāda būs VSAA atskaitījuma likme – anotācijā, škiet, ir sniegta pretrunīga informācija. No vienas puses, VSAA samazināsies ar VFPS saistītais ziņošanas slogs, no otras puses ir minēts, ka likme palielināsies.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3.sadaļas 6.2.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realizētu izmaiņas saistībā ar grozījumiem Likuma 10.panta pirmās daļas 6.punktā, kas paredz iespēju atteikties no pārskata par VFPS darbību zvērināta revidenta pārbaudes, un samazināt tvērumu gada pārskatam, publicējot informāciju, kura sniedz patiesu un skaidru priekšstatu par fondēto pensiju shēmas dalībniekiem, kā arī fondētajā pensiju shēmā veiktajām iemaksām un uzkrātā fondētās pensijas kapitāla pārskaitījumiem, sākot ar 2026. gadu speciālā budžeta apakšprogrammā samazināsies izdevumi precēm un pakalpojumiem provizoriski 13 552 euro gadā. Vienlaikus par attiecīgo summu 2026.gadā un turpmāk ik gadu nepieciešams samazināt nenodokļu ieņēmumus (EKK 22440 “VSAA ieņēmumi par valsts fondēto pensiju shēmas administrēšanu”), vienlaikus </w:t>
            </w:r>
            <w:r w:rsidR="00000000" w:rsidRPr="00000000" w:rsidDel="00000000">
              <w:rPr>
                <w:b w:val="1"/>
                <w:rtl w:val="0"/>
              </w:rPr>
              <w:t xml:space="preserve">samazinot atskaitījumus</w:t>
            </w:r>
            <w:r w:rsidR="00000000" w:rsidRPr="00000000" w:rsidDel="00000000">
              <w:rPr>
                <w:rtl w:val="0"/>
              </w:rPr>
              <w:t xml:space="preserve">, ko VSAA ietur no shēmas dalībnieku iemaksām.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3.sadaļas 5., 7. un 8.ailes 5.2.apakšpunktu.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apakšpunkti zaudējuši aktualitāti. Precizēta informācija anotācijas 3.sadaļā.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pielikumu, svītrojot 2., 4., 5., 6., 7. un 8.ailes 3.1.apakšpunktā norādītos skaitļus.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pielikums zaudējis aktualitāti. Informācija iekļauta anotācijas 3.sadaļā.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Valsts fondēto pensiju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likumprojekts nebūtu virzāms izskatīšanai Saeimā likumprojekta “Par valsts budžetu 2025. gadam un budžeta ietvaru 2025., 2026. un 2027. gadam” pavadošo likumprojektu paketē, nepieciešamības gadījumā precizējot anotāciju un MK sēdes protokollēmuma projektu.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sniedza prioritāru pasākumu </w:t>
            </w:r>
            <w:r w:rsidR="00000000" w:rsidRPr="00000000" w:rsidDel="00000000">
              <w:rPr>
                <w:i w:val="1"/>
                <w:rtl w:val="0"/>
              </w:rPr>
              <w:t xml:space="preserve">Valsts fondēto pensiju shēmas kapitāla pārnešana</w:t>
            </w:r>
            <w:r w:rsidR="00000000" w:rsidRPr="00000000" w:rsidDel="00000000">
              <w:rPr>
                <w:rtl w:val="0"/>
              </w:rPr>
              <w:t xml:space="preserve"> uz 2025.gada budžetu. Taču Ministru kabinets apstiprināja tikai grozījumus saistībā ar Finanšu ministrijas izstrādāto nodokļu reformu par valsts sociālo apdrošināšanas iemaksu pensiju kapitālam 1% p. pārnesi no pensiju 2.līmeņa un pensiju 1. līmeni.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Valsts fondēto pensiju likumā"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24-TA-936</w:t>
    </w:r>
    <w:r>
      <w:br/>
    </w:r>
    <w:r w:rsidR="00000000" w:rsidRPr="00000000" w:rsidDel="00000000">
      <w:rPr>
        <w:rtl w:val="0"/>
      </w:rPr>
      <w:t xml:space="preserve">17.02.2025. 15.23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24-TA-936</w:t>
    </w:r>
    <w:r>
      <w:br/>
    </w:r>
    <w:r w:rsidR="00000000" w:rsidRPr="00000000" w:rsidDel="00000000">
      <w:rPr>
        <w:rtl w:val="0"/>
      </w:rPr>
      <w:t xml:space="preserve">17.02.2025. 15.23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Izziņa_24-TA-936.docx</dc:title>
</cp:coreProperties>
</file>

<file path=docProps/custom.xml><?xml version="1.0" encoding="utf-8"?>
<Properties xmlns="http://schemas.openxmlformats.org/officeDocument/2006/custom-properties" xmlns:vt="http://schemas.openxmlformats.org/officeDocument/2006/docPropsVTypes"/>
</file>