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24-TA-1632: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anotācijas izriet, ka noteikumi tiek papildināti ar 8.</w:t>
            </w:r>
            <w:r w:rsidR="00000000" w:rsidRPr="00000000" w:rsidDel="00000000">
              <w:rPr>
                <w:vertAlign w:val="superscript"/>
                <w:rtl w:val="0"/>
              </w:rPr>
              <w:t xml:space="preserve">1</w:t>
            </w:r>
            <w:r w:rsidR="00000000" w:rsidRPr="00000000" w:rsidDel="00000000">
              <w:rPr>
                <w:rtl w:val="0"/>
              </w:rPr>
              <w:t xml:space="preserve"> pielikumu, kurā noteiktas sociālo nosacījumu sistēmas prasības, kas jāievēro lauksaimniekiem, un atbalsta samazinājuma apmērs, ja konstatēta šo prasību neievērošana. Tieslietu ministrijas ieskatā, lai minētajā pielikumā ietvertās prasības varētu detalizētāk izvērtēt, noteikumu projektā nepieciešams sniegt detalizētāku pamatojumu pielikumā noteikto prasību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Pirmsšķietami noteikumu projektā noteiktās prasības ir pretrunā ar Administratīvās atbildības likuma regulējumu. Tā, piemēram, saskaņā ar Administratīvās atbildības likuma 11. panta pirmo daļu gadījumā, ja personas izdarītais administratīvais pārkāpums konkrētajos apstākļos nav radījis tādu apdraudējumu tiesiski aizsargātajām interesēm, lai par to piemērotu sodu (maznozīmīgs pārkāpums), amatpersona var neuzsākt administratīvā pārkāpuma procesu, bet, ja tas ir uzsākts, amatpersona, augstāka amatpersona vai tiesa jebkurā stadijā var to izbeigt, nepiemērojot sodu. Šajā gadījumā amatpersona, augstāka amatpersona vai tiesa, ja to atzīst par lietderīgu, izsaka personai aizrādījumu. Aizrādījums nerada tiesiskas sekas. Pretēji Administratīvās atbildības likumā noteiktajam, aizrādījums atbilstoši noteikumu projektā ietvertajam regulējumam var radīt personai tiesiskas sekas, kas Tieslietu ministrijas ieskatā nav pieļaujami.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anotācijā un 8.</w:t>
            </w:r>
            <w:r w:rsidR="00000000" w:rsidRPr="00000000" w:rsidDel="00000000">
              <w:rPr>
                <w:vertAlign w:val="superscript"/>
                <w:rtl w:val="0"/>
              </w:rPr>
              <w:t xml:space="preserve">1</w:t>
            </w:r>
            <w:r w:rsidR="00000000" w:rsidRPr="00000000" w:rsidDel="00000000">
              <w:rPr>
                <w:rtl w:val="0"/>
              </w:rPr>
              <w:t xml:space="preserve">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18. aprīļa noteikumos Nr. 198 "Tiešo maksājumu piešķiršanas kārtība lauksaimniekiem" (Latvijas Vēstnesis, 2023, 77., 136., 153., 183., 213., 237. nr.; 2024, 72.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32. punktu Ministru kabineta 2023. gada 18. aprīļa noteikumi Nr. 198 "Tiešo maksājumu piešķiršanas kārtība lauksaimniekiem" (turpmāk - noteikumi Nr.198) tiek papildināti ar 357.</w:t>
            </w:r>
            <w:r w:rsidR="00000000" w:rsidRPr="00000000" w:rsidDel="00000000">
              <w:rPr>
                <w:vertAlign w:val="superscript"/>
                <w:rtl w:val="0"/>
              </w:rPr>
              <w:t xml:space="preserve">4</w:t>
            </w:r>
            <w:r w:rsidR="00000000" w:rsidRPr="00000000" w:rsidDel="00000000">
              <w:rPr>
                <w:rtl w:val="0"/>
              </w:rPr>
              <w:t xml:space="preserve"> punktu šādā redakcijā: "Ja viena un tā pati neatbilstība turpina pastāvēt vai atkārtojas vismaz vienu reizi trīs secīgos kalendāra gados </w:t>
            </w:r>
            <w:r w:rsidR="00000000" w:rsidRPr="00000000" w:rsidDel="00000000">
              <w:rPr>
                <w:u w:val="single"/>
                <w:rtl w:val="0"/>
              </w:rPr>
              <w:t xml:space="preserve">vai, ja neatbilstība ir pieļauta tīši</w:t>
            </w:r>
            <w:r w:rsidR="00000000" w:rsidRPr="00000000" w:rsidDel="00000000">
              <w:rPr>
                <w:rtl w:val="0"/>
              </w:rPr>
              <w:t xml:space="preserve">, Lauku atbalsta dienests piemēro regulas 2021/2116 85. panta 6. punktu." Saistībā ar minēto vēršam uzmanību, ka atbilstoši Administratīvās atbildības likuma 5. panta pirmajai daļai administratīvais pārkāpums ir personas prettiesiska, vainojama rīcība (darbība vai bezdarbība), par kuru likumā vai pašvaldību saistošajos noteikumos paredzēta administratīvā atbildība. Norādām, ka minētajā normā netiek paredzēta tāda tiesiskā sastāva pazīme </w:t>
            </w:r>
            <w:r w:rsidR="00000000" w:rsidRPr="00000000" w:rsidDel="00000000">
              <w:rPr>
                <w:u w:val="single"/>
                <w:rtl w:val="0"/>
              </w:rPr>
              <w:t xml:space="preserve">kā tiešs nodoms vai neuzmanība</w:t>
            </w:r>
            <w:r w:rsidR="00000000" w:rsidRPr="00000000" w:rsidDel="00000000">
              <w:rPr>
                <w:rtl w:val="0"/>
              </w:rPr>
              <w:t xml:space="preserve">. Ievērojot minēto, lūdzam dzēst minētajā noteikumu projekta punktā nosacījumu, kas paredz vērtēt vainas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r w:rsidR="00000000" w:rsidRPr="00000000" w:rsidDel="00000000">
              <w:rPr>
                <w:vertAlign w:val="superscript"/>
                <w:rtl w:val="0"/>
              </w:rPr>
              <w:t xml:space="preserve">4</w:t>
            </w:r>
            <w:r w:rsidR="00000000" w:rsidRPr="00000000" w:rsidDel="00000000">
              <w:rPr>
                <w:rtl w:val="0"/>
              </w:rPr>
              <w:t xml:space="preserve">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anotācijas 5. sadaļu, nodrošinot pilnīgu un korektu informāciju par noteikumu projekta atbilstību Latvijas Republikas starptautiskajām saistībām.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Nr. 198 sākotnējai anotācijai, ar noteikumu projektā grozījumiem pakļautā  116.3. apakšpunkta saistīto 116. punktu ir ieviests arī, piemēram,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4. panta sestais punkts, kura "c" apakšpunkts cita starpā nosaka, ka gados jauns lauksaimnieks ir ieguvis "</w:t>
            </w:r>
            <w:r w:rsidR="00000000" w:rsidRPr="00000000" w:rsidDel="00000000">
              <w:rPr>
                <w:i w:val="1"/>
                <w:rtl w:val="0"/>
              </w:rPr>
              <w:t xml:space="preserve">pienācīgu apmācību vai prasmes, kas vajadzīgas, kā to ir noteikušas dalībvalstis</w:t>
            </w:r>
            <w:r w:rsidR="00000000" w:rsidRPr="00000000" w:rsidDel="00000000">
              <w:rPr>
                <w:rtl w:val="0"/>
              </w:rPr>
              <w:t xml:space="preserve">" un pēc būtības atbilst noteikumu projekta 15. punktā noteiktajam. Attiecīgi lūdzam pārskatīt noteikumu projektu un izvērtēt, vai uz to attiecināmās, noteikumu projekta anotācijā nenorādītās, iepriekš ieviestās Eiropas Savienības tiesību normas joprojām ir attiecināmas. Attiecīgā gadījumā lūdzam papildināt anotācijas 5.4. apakšsadaļu, norādot, ka līdz šim ieviestās minēto normu prasības netiek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anotācijas 5.4. apakšsadaļas 1. tabulā nav norādīta pilnīga informācija par Eiropas Savienības tiesību normu ieviešanu. Piemēram, norādām, ka noteikumu projekta 32. punkts (noteikumu Nr. 198 357.</w:t>
            </w:r>
            <w:r w:rsidR="00000000" w:rsidRPr="00000000" w:rsidDel="00000000">
              <w:rPr>
                <w:vertAlign w:val="superscript"/>
                <w:rtl w:val="0"/>
              </w:rPr>
              <w:t xml:space="preserve">1</w:t>
            </w:r>
            <w:r w:rsidR="00000000" w:rsidRPr="00000000" w:rsidDel="00000000">
              <w:rPr>
                <w:rtl w:val="0"/>
              </w:rPr>
              <w:t xml:space="preserve"> punkts) ievieš Eiropas Parlamenta un Padomes 2021. gada 2. decembra Regulas (ES) 2021/2116 par kopējās lauksaimniecības politikas finansēšanu, pārvaldību un uzraudzību un ar ko atceļ Regulu (ES) Nr. 1306/2013 (turpmāk - regula Nr. 2116), 88. panta 1. punktu, jo abos noteikta nepieciešamība ziņot par tām neatbilstībām, par kurām pieņemts izpildāms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ailē par rīcības brīvību norāda to, kā ir izmantota Eiropas Savienības tiesību aktā paredzētā rīcības brīvība dalībvalstij pārņemt vai ieviest noteiktas Eiropas Savienības tiesību akta normas, sniedzot atbilstošu pamatojumu. Savukārt 5.4. apakšsadaļas 1. tabulā kā rīcības brīvība nekorekti norādīti dalībvalstu pienākumi. Piemēram, bet ne tikai, regulas 2021/2115 IV pielikums un regulas 2021/2116 85. panta sestais punkts nesatur rīcības brīvību. Kā arī atsevišķos gadījumos, piemēram, attiecībā uz regulas 2021/2116 88. panta 2. punkta "a" apakšpunktu nav sniegts pamatojums rīcības brīvības izmantošanai vai neizmantošanai. Attiecīgi lūdzam pārskatīt un korekti aizpildīt anotācijas 5.4. apakšsadaļas 1. tabulas rīcības brīvības ailes.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5.4. apakšsadaļas 1.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anotācijas 5.4. apakšsadaļas 1. tabulā ietvertos skaidrojumus par no Eiropas Savienības tiesību aktiem izrietošo rīcības brīvību izmantošanu (neizmantošanu)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rīcības brīvība ir attiecīgajā Eiropas Savienības tiesību aktā nostiprināta izvēles iespēja dalībvalstij pārņemt vai ieviest noteiktas Eiropas Savienības tiesību akta normas vai to nedarīt, nepieciešamības gadījumā lūdzam precizēt minētās tabulas rīcības brīvības ailes, kuras atsevišķos gadījumos pirmšķietami aizpildītas nekorekti, jo no attiecīgajām Eiropas Savienības tiesību normām neizriet rīcības brīvība. Piemēram, Eiropas Parlamenta un Padomes 2021. gada 2. decembra Regulas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 (turpmāk – regula 2021/2115) IV pielikumā vienkārši tiek paredzēti noteikumi par sociālo nosacījumu sistēmu, bet Eiropas Parlamenta un Padomes 2021. gada 2. decembra Regulas (ES) 2021/2116 par kopējās lauksaimniecības politikas finansēšanu, pārvaldību un uzraudzību un ar ko atceļ Regulu (ES) Nr. 1306/2013 (turpmāk - Regula 2021/2116) 85. panta 6. punktā nosaka, apstākļus, kuriem izpildoties procentuālais atbalsta samazinājums ir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skaidrojumu arī par to, kā rīcības brīvība ir vai nav izmantota, kā arī skaidrot pamatojumu rīcības brīvības izmantošanai vai neizmantošanai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5.4. apakšsadaļas 1.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5.sadaļu un veikt tajā nepieciešamos precizējumus,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noteikumu projekta redakcijai regulas 2021/2115 IV pielikums ieviests ne tikai ar noteikumu projekta 2. pielikumu, bet arī tā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noteikumu projekta redakcijai ar tā 30. punktu ieviests Komisijas 2022. gada 4. maija Deleģētās regulas (ES) 2022/1172, ar ko Eiropas Parlamenta un Padomes Regulu (ES) 2021/2116 papildina attiecībā uz kopējā lauksaimniecības politikā integrēto administrācijas un kontroles sistēmu un ar nosacījumu sistēmu saistīto administratīvo sodu piemērošanu un aprēķināšanu (turpmāk – regula 2022/1172) 11.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Ministru kabineta 2023. gada 18. aprīļa noteikumu Nr. 198 "Tiešo maksājumu piešķiršanas kārtība lauksaimniekiem" (turpmāk - noteikumi Nr.198) anotācijai, ar noteikumu projektā grozījumiem pakļautajiem punktiem ir ieviests arī, piemēram, regulas 2021/2115 29. pants (noteikumu Nr. 198 113. punkts) un Komisijas 2022. gada 31. maija Īstenošanas regulas (ES) 2022/1173, ar ko nosaka noteikumus par to, kā Eiropas Parlamenta un Padomes Regulu (ES) 2021/2116 piemēro attiecībā uz kopējā lauksaimniecības politikā integrēto administrācijas un kontroles sistēmu (turpmāk – regula 2022/1173) 10. panta 9. punkts (noteikumu Nr. 198 276. punkts), kuros, cita starpā, paredzēta arī dalībvalstu rīcības brīvība. Attiecīgi lūdzam pārskatīt noteikumu projektu un izvērtēt, vai uz to attiecināmās noteikumu projekta anotācijā nenorādītās, iepriekš ieviestās Eiropas Savienības tiesību normas joprojām ir attiecināmas. Attiecīgā gadījumā lūdzam papildināt anotācijas 5.4. apakšsadaļu, norādot, ka līdz šim ieviestās minēto normu prasības netiek ietekmētas;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par regulas 2022/1173 10. panta 9. punkta ieviešanu noteikumu projekta 27. punktā varētu būt nekorekta, jo 10. panta 9. punkta šķietami ieviests noteikumu projekta 28.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28. punktā šķietami nav ieviests regulas 2022/1172 11. pants, tāpat rīcības brīvības sadaļā vienlaicīgi tiek norādīts uz 27. nevis 28. punktu. Norādām, ka 27. punkts paredz noteikumus tam kā tiek pārbaudīti visi lauksaimnieki, uz kuriem attiecas pārbaudāmais nosacījums, piemērojot platību uzraudzības (monitoringa) sistēmu, bet 28. punktā noteikta informācija, kas atspoguļojama platību uzraudzības sistēmā, savukārt regulas 2022/1172 11. pants nosaka kārtību, noteikumus samazinājumu aprēķināšanai gadījumā, kad tajā pašā kalendārajā gadā pieļautas vairākas neatbilstības. Vienlaicīgi, vēršam uzmanību, ka regulas 2022/1172 11. pants domājams pretēji skaidrojumam anotācijas 5.4. apakšsadaļas 1. tabulā neparedz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anotācijā sniegtajiem skaidrojumiem "</w:t>
            </w:r>
            <w:r w:rsidR="00000000" w:rsidRPr="00000000" w:rsidDel="00000000">
              <w:rPr>
                <w:i w:val="1"/>
                <w:rtl w:val="0"/>
              </w:rPr>
              <w:t xml:space="preserve">Saskaņā ar regulas 2021/2115 14. pantu dalībvalstīm ne vēlāk kā no 2025. gada 1. janvāra ir jāizveido sociālo nosacījumu sistēma [..]</w:t>
            </w:r>
            <w:r w:rsidR="00000000" w:rsidRPr="00000000" w:rsidDel="00000000">
              <w:rPr>
                <w:rtl w:val="0"/>
              </w:rPr>
              <w:t xml:space="preserve">", kas šķietami, pamatojoties uz skaidrojumiem anotācijas 1.3. apakšsadaļā tiek praktiski nodrošināts izpildot no regulas 2021/2115 14. panta izrietošās prasības, piemēram, "</w:t>
            </w:r>
            <w:r w:rsidR="00000000" w:rsidRPr="00000000" w:rsidDel="00000000">
              <w:rPr>
                <w:i w:val="1"/>
                <w:rtl w:val="0"/>
              </w:rPr>
              <w:t xml:space="preserve">Lai izveidotu sociālo nosacījumu sistēmas satvaru, precizēts 6. nodaļas un 6.1. apakšnodaļas nosaukums un 6.1. apakšnodaļa papildināta ar 51.</w:t>
            </w:r>
            <w:r w:rsidR="00000000" w:rsidRPr="00000000" w:rsidDel="00000000">
              <w:rPr>
                <w:i w:val="1"/>
                <w:vertAlign w:val="superscript"/>
                <w:rtl w:val="0"/>
              </w:rPr>
              <w:t xml:space="preserve">1</w:t>
            </w:r>
            <w:r w:rsidR="00000000" w:rsidRPr="00000000" w:rsidDel="00000000">
              <w:rPr>
                <w:i w:val="1"/>
                <w:rtl w:val="0"/>
              </w:rPr>
              <w:t xml:space="preserve"> un 51.</w:t>
            </w:r>
            <w:r w:rsidR="00000000" w:rsidRPr="00000000" w:rsidDel="00000000">
              <w:rPr>
                <w:i w:val="1"/>
                <w:vertAlign w:val="superscript"/>
                <w:rtl w:val="0"/>
              </w:rPr>
              <w:t xml:space="preserve">2</w:t>
            </w:r>
            <w:r w:rsidR="00000000" w:rsidRPr="00000000" w:rsidDel="00000000">
              <w:rPr>
                <w:i w:val="1"/>
                <w:rtl w:val="0"/>
              </w:rPr>
              <w:t xml:space="preserve"> punktu [..].</w:t>
            </w:r>
            <w:r w:rsidR="00000000" w:rsidRPr="00000000" w:rsidDel="00000000">
              <w:rPr>
                <w:rtl w:val="0"/>
              </w:rPr>
              <w:t xml:space="preserve">", savukārt noteiktā termiņa prasība nostiprināta noteikumu projekta 31. punktā. Attiecīgi nepieciešams salāgot anotācijas 1.3. apakšsadaļā sniegto informāciju ar anotācijas 5.4. apakšsadaļas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attiecībā uz Eiropas Savienības tiesību normu ieviešanu noteikumu projekta 30. punktā, lūdzam anotācijas 5.4. apakšsadaļas 1. tabulā konkretizēt B ailes. Vēršam uzmanību, ka noteikumu projekta 30. punkts noteikumus Nr.198 papildina ar vairākām jaunām tiesību normām un domājams, piemēram, viss Regulas 2021/2116 88. punkts nav attiecināms uz visām noteikumu projekta 30. punkta ieviestajām tiesību normām. Precizējumus iesakām anotācijas 5.4. apakšsadaļas 1. tabulā atspoguļot, piemēram pēc šāda parauga: "30. punkts (noteikumu Nr.198 357.</w:t>
            </w:r>
            <w:r w:rsidR="00000000" w:rsidRPr="00000000" w:rsidDel="00000000">
              <w:rPr>
                <w:vertAlign w:val="superscript"/>
                <w:rtl w:val="0"/>
              </w:rPr>
              <w:t xml:space="preserve">2</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skaidrojot Eiropas Savienības tiesību normas, lūdzam precīzi atspoguļot tiesību normu būtību, gan anotācijā kopumā, gan tās  5.4. apakšsadaļas 1. tabulā, piemēram, Regulas 2021/2116 88. pants nosaka nevis "</w:t>
            </w:r>
            <w:r w:rsidR="00000000" w:rsidRPr="00000000" w:rsidDel="00000000">
              <w:rPr>
                <w:i w:val="1"/>
                <w:rtl w:val="0"/>
              </w:rPr>
              <w:t xml:space="preserve">Ar sociālo nosacījumu sistēmu saistīto atbalsta samazinājumu sistēmu</w:t>
            </w:r>
            <w:r w:rsidR="00000000" w:rsidRPr="00000000" w:rsidDel="00000000">
              <w:rPr>
                <w:rtl w:val="0"/>
              </w:rPr>
              <w:t xml:space="preserve">", bet "</w:t>
            </w:r>
            <w:r w:rsidR="00000000" w:rsidRPr="00000000" w:rsidDel="00000000">
              <w:rPr>
                <w:i w:val="1"/>
                <w:rtl w:val="0"/>
              </w:rPr>
              <w:t xml:space="preserve">Ar sociālo nosacījumu sistēmu saistīto administratīvo sodu sistēmu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apakšsadaļā un 5.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Platību uzraudzības (monitoringa) sistēmā saskaņā ar regulas 2022/1173 10. panta 9. punktu ir iekļaujams ilgtspēju sekmējošais ienākumu pamatatbalsts, maksājums mazajiem lauksaimniekiem, ilgtspēju sekmējošais pārdalošais ienākumu papildatbalsts, ienākumu papildatbalsts gados jauniem lauksaimniekiem un šo intervenču atbilstības un atbalsttiesīgas lauksaimniecības zemes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Tomēr Eiropas Savienības Tiesa ir atzinusi, ka, ja regula prasa tās piemērošanai nodrošinošu nacionālā tiesību akta pieņemšanu, atsevišķos gadījumos tomēr var tikt pieļauta regulu teksta daļu inkorporēšana nacionālajos tiesību aktos (sk., piem., </w:t>
            </w:r>
            <w:r w:rsidR="00000000" w:rsidRPr="00000000" w:rsidDel="00000000">
              <w:rPr>
                <w:i w:val="1"/>
                <w:rtl w:val="0"/>
              </w:rPr>
              <w:t xml:space="preserve">lietu Nr. 272/83 Komisija v. Itālija</w:t>
            </w:r>
            <w:r w:rsidR="00000000" w:rsidRPr="00000000" w:rsidDel="00000000">
              <w:rPr>
                <w:rtl w:val="0"/>
              </w:rPr>
              <w:t xml:space="preserve">).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noteikumu projekta 30. punktu un nepieciešamības gadījumā citas vienības. Norādām, ka noteikumu projekta 30. punkta (noteikumu Nr.198 357.4 punkts) redakcija šķietami daļēji pārraksta regulas 2021/2116 85. panta 6. punktu. Attiecīgi lūdzam precizēt noteikumu projektu. Gadījumā, ja tiešām nepieciešams pārrakstīt regulas teksta daļu, attiecīgo daļu pārraksta identiski (lai izvairītos no atšķirīgas interpretācijas iespējas) un papildus noteikumu projekta anotācijā skaidro nepieciešamību veikt Regulas teksta daļu inkorporēšanu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noteikumu projekta 28. punktu (noteikumu Nr.198 276. punktu) lūdzam izvērtēt, vai tajā korekti norādīts, ka "</w:t>
            </w:r>
            <w:r w:rsidR="00000000" w:rsidRPr="00000000" w:rsidDel="00000000">
              <w:rPr>
                <w:i w:val="1"/>
                <w:rtl w:val="0"/>
              </w:rPr>
              <w:t xml:space="preserve">platību uzraudzības (monitoringa) sistēmā </w:t>
            </w:r>
            <w:r w:rsidR="00000000" w:rsidRPr="00000000" w:rsidDel="00000000">
              <w:rPr>
                <w:i w:val="1"/>
                <w:u w:val="single"/>
                <w:rtl w:val="0"/>
              </w:rPr>
              <w:t xml:space="preserve">saskaņā ar regulas 2022/1173 10. panta 9. punktu</w:t>
            </w:r>
            <w:r w:rsidR="00000000" w:rsidRPr="00000000" w:rsidDel="00000000">
              <w:rPr>
                <w:i w:val="1"/>
                <w:rtl w:val="0"/>
              </w:rPr>
              <w:t xml:space="preserve"> ir iekļaujams ilgtspēju sekmējošais ienākumu pamatatbalsts, maksājums mazajiem lauksaimniekiem, ilgtspēju sekmējošais pārdalošais ienākumu papildatbalsts, ienākumu papildatbalsts gados jauniem lauksaimniekiem un šo intervenču atbilstības un atbalsttiesīgas lauksaimniecības zemes nosacījumi.</w:t>
            </w:r>
            <w:r w:rsidR="00000000" w:rsidRPr="00000000" w:rsidDel="00000000">
              <w:rPr>
                <w:rtl w:val="0"/>
              </w:rPr>
              <w:t xml:space="preserve">". Proti, vēršam uzmanību, ka saskaņā ar noteikumu projekta 28. punktā ietverto atsauci uz regulas 2022/1173 10. panta 9. punktu, sistēmā iekļaujamā informācija tostarp izriet no Regulas 2021/2115 21. panta, kurš attiecas tikai uz noteikumu projekta 28. punktā minēto "</w:t>
            </w:r>
            <w:r w:rsidR="00000000" w:rsidRPr="00000000" w:rsidDel="00000000">
              <w:rPr>
                <w:i w:val="1"/>
                <w:rtl w:val="0"/>
              </w:rPr>
              <w:t xml:space="preserve">ilgtspēju sekmējošais ienākumu pamatatbalstu</w:t>
            </w:r>
            <w:r w:rsidR="00000000" w:rsidRPr="00000000" w:rsidDel="00000000">
              <w:rPr>
                <w:rtl w:val="0"/>
              </w:rPr>
              <w:t xml:space="preserve">". Tajā pašā laikā noteikumu projektā tiek norādīts arī uz to, ka sistēmā iekļauj "</w:t>
            </w:r>
            <w:r w:rsidR="00000000" w:rsidRPr="00000000" w:rsidDel="00000000">
              <w:rPr>
                <w:i w:val="1"/>
                <w:rtl w:val="0"/>
              </w:rPr>
              <w:t xml:space="preserve">Ilgtspēju sekmējošais pārdalošais ienākumu papildatbalsts</w:t>
            </w:r>
            <w:r w:rsidR="00000000" w:rsidRPr="00000000" w:rsidDel="00000000">
              <w:rPr>
                <w:rtl w:val="0"/>
              </w:rPr>
              <w:t xml:space="preserve">", kas ir šķietami savstarpēji nesaistīts ar regulas 2022/1173 10. panta 9.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un noteikumu projekta 32. punktā (noteikumu Nr.198 357.</w:t>
            </w:r>
            <w:r w:rsidR="00000000" w:rsidRPr="00000000" w:rsidDel="00000000">
              <w:rPr>
                <w:vertAlign w:val="superscript"/>
                <w:rtl w:val="0"/>
              </w:rPr>
              <w:t xml:space="preserve">4</w:t>
            </w:r>
            <w:r w:rsidR="00000000" w:rsidRPr="00000000" w:rsidDel="00000000">
              <w:rPr>
                <w:rtl w:val="0"/>
              </w:rPr>
              <w:t xml:space="preserve">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Platību uzraudzības (monitoringa) sistēmā saskaņā ar regulas 2022/1173 10. panta 9. punktu ir iekļaujams ilgtspēju sekmējošais ienākumu pamatatbalsts, maksājums mazajiem lauksaimniekiem, ilgtspēju sekmējošais pārdalošais ienākumu papildatbalsts, ienākumu papildatbalsts gados jauniem lauksaimniekiem un šo intervenču atbilstības un atbalsttiesīgas lauksaimniecības zemes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r w:rsidR="00000000" w:rsidRPr="00000000" w:rsidDel="00000000">
              <w:rPr>
                <w:vertAlign w:val="superscript"/>
                <w:rtl w:val="0"/>
              </w:rPr>
              <w:t xml:space="preserve">4</w:t>
            </w:r>
            <w:r w:rsidR="00000000" w:rsidRPr="00000000" w:rsidDel="00000000">
              <w:rPr>
                <w:rtl w:val="0"/>
              </w:rPr>
              <w:t xml:space="preserve"> Ja viena un tā pati neatbilstība turpina pastāvēt vai atkārtojas vismaz vienu reizi trīs secīgos kalendāra gados vai, ja neatbilstība ir pieļauta tīši, Lauku atbalsta dienests piemēro regulas 2021/2116 85. panta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32. punkta (noteikumu Nr. 198 357.</w:t>
            </w:r>
            <w:r w:rsidR="00000000" w:rsidRPr="00000000" w:rsidDel="00000000">
              <w:rPr>
                <w:vertAlign w:val="superscript"/>
                <w:rtl w:val="0"/>
              </w:rPr>
              <w:t xml:space="preserve">4</w:t>
            </w:r>
            <w:r w:rsidR="00000000" w:rsidRPr="00000000" w:rsidDel="00000000">
              <w:rPr>
                <w:rtl w:val="0"/>
              </w:rPr>
              <w:t xml:space="preserve"> punkts) redakcija daļēji pārraksta regulas 2021/2116 85. panta sesto punktu. Saistībā ar minēto atkārtoti vēršam uzmanību,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Tādēļ ir prettiesiski tādi nacionālie regulas normas īstenošanas mehānismi, kas rada šķēršļus regulas tiešam efektam un apdraud vienlaicīgu un vienādu tās piemērošanu Eiropas Savienībā. Tomēr Eiropas Savienības Tiesa ir atzinusi, ka, ja regula prasa tās piemērošanai nodrošinošu nacionālā tiesību akta pieņemšanu, atsevišķos gadījumos tomēr var tikt pieļauta regulu teksta daļu inkorporēšana nacionālajos tiesību aktos (sk., piem., lietu Nr. 272/83 Komisija v. Itālija). Norādām, ka šis gadījums attaisnots vienīgi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noteikumu projekta normas, pēc iespējas izvairoties no regulas normu pārrakstīšanas. Gadījumā, ja nepieciešams pārrakstīt regulas teksta daļu, attiecīgo daļu pārraksta identiski (lai izvairītos no atšķirīgas interpretācijas iespējas) un papildus noteikumu projekta anotācijā skaidro nepieciešamību veikt regulas teksta daļu inkorporēšanu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357.4 punkts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32. punktā, ar kuru Ministru kabineta 2023. gada 18. aprīļa noteikumi Nr. 198 "Tiešo maksājumu piešķiršanas kārtība lauksaimniekiem" tiek papildināti ar 357.</w:t>
            </w:r>
            <w:r w:rsidR="00000000" w:rsidRPr="00000000" w:rsidDel="00000000">
              <w:rPr>
                <w:vertAlign w:val="superscript"/>
                <w:rtl w:val="0"/>
              </w:rPr>
              <w:t xml:space="preserve">1 </w:t>
            </w:r>
            <w:r w:rsidR="00000000" w:rsidRPr="00000000" w:rsidDel="00000000">
              <w:rPr>
                <w:rtl w:val="0"/>
              </w:rPr>
              <w:t xml:space="preserve">pantu šādā redakcijā: </w:t>
            </w:r>
            <w:r w:rsidR="00000000" w:rsidRPr="00000000" w:rsidDel="00000000">
              <w:rPr>
                <w:i w:val="1"/>
                <w:rtl w:val="0"/>
              </w:rPr>
              <w:t xml:space="preserve">"Ja Valsts darba inspekcija, īstenojot valsts uzraudzību un kontroli darba tiesisko attiecību un darba aizsardzības jomā, konstatē neatbilstības šo noteikumu 8.</w:t>
            </w:r>
            <w:r w:rsidR="00000000" w:rsidRPr="00000000" w:rsidDel="00000000">
              <w:rPr>
                <w:i w:val="1"/>
                <w:vertAlign w:val="superscript"/>
                <w:rtl w:val="0"/>
              </w:rPr>
              <w:t xml:space="preserve">1</w:t>
            </w:r>
            <w:r w:rsidR="00000000" w:rsidRPr="00000000" w:rsidDel="00000000">
              <w:rPr>
                <w:i w:val="1"/>
                <w:rtl w:val="0"/>
              </w:rPr>
              <w:t xml:space="preserve"> ​pielikumā noteiktajām sociālo nosacījumu sistēmas prasībām, tā ne retāk kā vienu reizi gadā informē Lauku atbalsta dienestu par tām neatbilstībām, par kurām ir pieņemts lēmums, kas kļuvis izpildāms"</w:t>
            </w:r>
            <w:r w:rsidR="00000000" w:rsidRPr="00000000" w:rsidDel="00000000">
              <w:rPr>
                <w:rtl w:val="0"/>
              </w:rPr>
              <w:t xml:space="preserve"> vārdu "lēmums" aizstāt ar vārdu "nolēmums".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minēts, ka "tālākus atbalsta samazinājumus LAD īstenos saskaņā ar regulas 2021/2116 85. panta 6. punktu, piemērojot lauksaimniekam atbalsta samazinājumu 10 procentu apmērā, ja tiek konstatēta atkārtota neatbilstība vienreiz trijos gados, bet ja neatbilstība tiek atzīta par </w:t>
            </w:r>
            <w:r w:rsidR="00000000" w:rsidRPr="00000000" w:rsidDel="00000000">
              <w:rPr>
                <w:u w:val="single"/>
                <w:rtl w:val="0"/>
              </w:rPr>
              <w:t xml:space="preserve">tīšu neatbilstību</w:t>
            </w:r>
            <w:r w:rsidR="00000000" w:rsidRPr="00000000" w:rsidDel="00000000">
              <w:rPr>
                <w:rtl w:val="0"/>
              </w:rPr>
              <w:t xml:space="preserve">, atbalsta kopsumma ir samazināma par 15 procentiem no tiešo maksājumu intervenču un lauku attīstības platībatkarīgo intervenču atbalsta kopsummas". Ņemot vērā to, ka Latvijas administratīvās atbildības sistēmā vairs netiek vērtēta personas attieksme pret izdarīto likumpārkāpumu (attieksmei par izdarīto likumpārkāpumu nav nozīmes), aicinām projekta anotācijā sniegt skaidrojumu, vai un kādos gadījumos atbalsta kopsumma ir samazināma par 15 procentiem, ņemot vērā Latvijas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anotācijas 1.3. apakšsadaļas papildinājumu par noteikumu Nr.198 364. punkta svītrošanu. Proti, vēršam uzmanību, ka šobrīd anotācijā norādīts, ka līdztekus noteikumos Nr. 198 noteiktajai nepamatoti izmaksātu maksājumu atgūšanas kārtībai pastāv vairāki citi Ministru kabineta noteikumi, kuros noteikta atšķirīga kārtība un nepieciešams svītrot noteikumu Nr.198 364. punktu, jo nav nepieciešama atsevišķa kārtība, tomēr netiek konkrētāk skaidrots, kā nepamatoti izmaksātu maksājumu atgūšana noteikumus Nr. 198 kontekstā tiks īstenota turpmāk, tādēļ nepieciešams anotācijā sniegt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un korekti atspoguļot informāciju par noteikumu projekta atbilstību Latvijas Republikas starptautiskajām saistībām anotācijas 1.3. apakšsadaļā un 5.4. apakšsadaļas 1. tabulā. Vēršam uzmanību, ka no veiktajiem papildinājumiem anotācijas 1.3. apakšsadaļā izriet, ka grozījumi noteikumos Nr. 198 ievieš ne tikai anotācijas 5.4. apakšsadaļas 1. tabulā jau norādītās Eiropas Savienības tiesību normas. Piemēram, no 1.3. apakšsadaļas izriet, ka noteikumu Nr.198 8.</w:t>
            </w:r>
            <w:r w:rsidR="00000000" w:rsidRPr="00000000" w:rsidDel="00000000">
              <w:rPr>
                <w:vertAlign w:val="superscript"/>
                <w:rtl w:val="0"/>
              </w:rPr>
              <w:t xml:space="preserve">1</w:t>
            </w:r>
            <w:r w:rsidR="00000000" w:rsidRPr="00000000" w:rsidDel="00000000">
              <w:rPr>
                <w:rtl w:val="0"/>
              </w:rPr>
              <w:t xml:space="preserve"> pielikumā ieviests arī regulas Nr. 2021/2116 85. panta otrais punkts, Komisijas 2022. gada 4. maija Deleģētās regulas (ES) 2022/1172, ar ko Eiropas Parlamenta un Padomes Regulu (ES) 2021/2116 papildina attiecībā uz kopējā lauksaimniecības politikā integrēto administrācijas un kontroles sistēmu un ar nosacījumu sistēmu saistīto administratīvo sodu piemērošanu un aprēķināšanu, 9. panta 1. punkts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anotāciju atbilstoši juridiskās tehnikas prasībām, ievērojot, ka saīsinājumus atrunā pirmajā vietā juridiskajā tekstā, kur lietots attiecīgais saīsināmais jēdziens vai termins, kā arī saīsinājumi konsekventi lietojami tālāk dokumenta tekstā. Minētais attiecas, piemēram, uz terminu "Valsts augu aizsardzības dienests" un tā saīsinājumu "VAAD", terminu "Lauku atbalsta dienests" un saīsinājumu "LAD", vienlaikus lietotajiem saīsinājumiem "noteikumi Nr. 198", "noteikumi Nr. 198", "MK noteikumi", "noteikumi", saīsinājumiem "KLP", "LAD EPS" u.tml. Tāpat iesakām izvairīties no tādiem vispārīgiem, neatrunātiem apzīmējumiem kā "Regula", kas var apgrūtināt skaidrojumu pilnīgu izpratni. Proti, anotācijā vienlaicīgi tiek lietots gan vispārīgs saīsinājums "regula", gan konkrētas atsauces uz regulām un skaidroti noteikumi, kas izriet no vairākām regulām. Attiecīgi, lietojot vispārīgu formulējumu "regula", nav skaidrs uz kuru no visām anotācijā skaidrotajām regulām skaidrojums attiecināms.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lūdzam noteikumu projektā vai tā anotācijā skaidrot apzīmējumus "Vgt, VGt, VGT, Pgt, PGt, PGT, AGT, AT, Tz, Tzg, Tp, Tpg, Ta vai Tag", kuri ar noteikumu projekta 6. punktu tiek ietverti noteikumos Nr.198, bet netiek konkrētāk skaidroti un atrunāti ne noteikumu projektā, ne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lai noteikumu projekta normas varētu efektīvāk piemērot praksē, lūdzam precizēt noteikumu projekta anotācijas 1.3. apakšsadaļu, iekļaujot izvērstāku tiesību normas mērķa, būtības un līdzekļu aprakstu. Proti, pašreizējie anotācijas 1.3. apakšsadaļā ietvertie noteikumu projekta skaidrojumi ir šķietami pārāk vispārīgi un neatspoguļo grozījumu būtību, nesniedzot pilnīgu izpratni par noteikumu projektā ietverto tiesību normu būtību un ar to praktisko piemērošanu saistītajiem nosacījumiem.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veiktajiem grozījumiem 1. un 16. pielikumā atsevišķi precizējumi ir šķietami arī vienkārši redakcionāla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risinājuma aprakstā, kur norādīts uz grozījumiem noteikumu Nr.198 275. un 276. punktā, šķietami sniegts skaidrojums tikai par noteikumu projekta 28. punktu (noteikumu Nr.198 276.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trūkst nepieciešamības pamatojums, piemēram, noteikumu Nr.198 121.2. apakšpunktā plānotajiem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Nr.198 113. un 114. punktā plānotajiem grozījumiem šķietami trūkst konkrētāka skaidrojuma par pašreizējo situāciju. Piemēram, kāpēc, neskatoties uz to, ka Lauksaimnieku nevalstisko organizāciju konsultatīvajā padomē jau no 2021. gada ir nolemts, ka ienākumu papildatbalstu piešķir par platību no 3 ha, noteikumu projektā praktiski noteikta platība 3,01 ha, tostarp kādēļ radusies  šāda situācija un kādēļ nepieciešams veikt attiecīgo precizējumu. Tāpat atbilstoši anotācijā sniegtajam skaidrojumam atbalstu piešķir, sākot no 3 ha, kas šķietami saprotams kā tieši 3 ha un vairāk, bet noteikumu projekts paredz nosacījumu "pārsniedz trīs hektārus", kas šķietami nav viens un tas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domājams, nav pietiekami konkrēti izvērsts arī skaidrojums par to, kāpēc noteikumu Nr.198 60. punktā kūdrāju augsnes definīcija papildināta tieši ar nosacījumu par nepieciešamības pēc "35 procentiem organisko vielu".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noteikumu projekts paredz vairāku jaunu vienību ietveršanu noteikumos Nr.198, to korektas izpratnes nodrošināšanai un pareizai piemērošanai nepieciešams izvērsti skaidrot konkrētās vienības. Piemēram, </w:t>
            </w:r>
            <w:r w:rsidR="00000000" w:rsidRPr="00000000" w:rsidDel="00000000">
              <w:rPr>
                <w:rtl w:val="0"/>
              </w:rPr>
              <w:t xml:space="preserve">tiesību normu adresātiem ir svarīgi korekti izprast 8.</w:t>
            </w:r>
            <w:r w:rsidR="00000000" w:rsidRPr="00000000" w:rsidDel="00000000">
              <w:rPr>
                <w:vertAlign w:val="superscript"/>
                <w:rtl w:val="0"/>
              </w:rPr>
              <w:t xml:space="preserve">1</w:t>
            </w:r>
            <w:r w:rsidR="00000000" w:rsidRPr="00000000" w:rsidDel="00000000">
              <w:rPr>
                <w:rtl w:val="0"/>
              </w:rPr>
              <w:t xml:space="preserve"> pielikumu, tā piemērošanas nosacījumus un to, pēc kādiem principiem noteikti atbalsta samazinājuma %. Tāpat, anotācijā skaidrojot sociālo nosacījumu sistēmas administratīvo satvaru, šķietami, vienlaicīgi nepieciešams skaidrot arī to kā praktiski tiks noformēta atbalsta samazinājuma piemērošana, proti, vai tiks izdots atsevišķs administratīvais akts vai arī plānota cita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anotācijas 1.3. apakšsadaļā nav nodrošināts pilnīgs noteikumu projekta skaidrojums, piemēram, nav skaidrots noteikumu projekta 19. punkts (noteikumu Nr.198 170.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administratīvo izmaksu monetārā novērtējuma aprakstošo daļu ar atsauci uz projekta punktiem, par kuriem aprēķins ir veikts.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2.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atkārtoti izvērtēt noteikumu projekta anotācijas 5.4. apakšsadaļas 1. tabulā ietvertos skaidrojumus par no Eiropas Savienības tiesību aktiem izrietošo rīcības brīvību izmantošanu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apakšsadaļas 1. tabulā par rīcības brīvību norāda to, </w:t>
            </w:r>
            <w:r w:rsidR="00000000" w:rsidRPr="00000000" w:rsidDel="00000000">
              <w:rPr>
                <w:u w:val="single"/>
                <w:rtl w:val="0"/>
              </w:rPr>
              <w:t xml:space="preserve">kā ir izmantota Eiropas Savienības tiesību aktā paredzētā rīcības brīvība dalībvalstij pārņemt vai ieviest noteiktas Eiropas Savienības tiesību akta normas</w:t>
            </w:r>
            <w:r w:rsidR="00000000" w:rsidRPr="00000000" w:rsidDel="00000000">
              <w:rPr>
                <w:rtl w:val="0"/>
              </w:rPr>
              <w:t xml:space="preserve">, sniedzot atbilstošu pamatojumu. Savukārt 5.4. apakšsadaļas 1. tabulā kā rīcības brīvība nekorekti norādīti dalībvalstu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 Regulas 2021/2115 14. pants nesatur rīcības brīvības tvērumu, nosakot dalībvalstīm </w:t>
            </w:r>
            <w:r w:rsidR="00000000" w:rsidRPr="00000000" w:rsidDel="00000000">
              <w:rPr>
                <w:u w:val="single"/>
                <w:rtl w:val="0"/>
              </w:rPr>
              <w:t xml:space="preserve">pienākumu</w:t>
            </w:r>
            <w:r w:rsidR="00000000" w:rsidRPr="00000000" w:rsidDel="00000000">
              <w:rPr>
                <w:rtl w:val="0"/>
              </w:rPr>
              <w:t xml:space="preserve"> izveidot sociālo nosacījumu sistēmu, kuru īsteno atbilstoši dalībvalstī piemērotajām kontroles un izpildes sistēmām sociālo un nodarbinātības tiesību aktu jomā. Kā arī Regulas 2021/2115 IV pielikums nesatur rīcības brīvību dalībvalstij pārņemt vai ieviest tiesību akta normās regulēto. Attiecīgi lūdzam pārskatīt un korekti aizpildīt anotācijas 5.4. apakšsadaļas 1. tabulas sadaļu par rīcības brīvību.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5.4. apakšsadaļas 1. 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noteikumu projekta anotācijas 6.1. apakšsadaļu, jo, ņemot vērā sniegtos skaidrojumus anotācijas 6.3. apakšsadaļā par lauksaimnieku nevalstisko organizāciju iesaisti, domājams nepieciešams veikt precizējumus anotācijas 6.1. apakšsadaļas ailē "Nevalstiskās organizācijas". Proti, no anotācijas pašreizējās redakcijas 6. sadaļas izriet, ka sabiedrības līdzdalības procesā nebija iesaistītas nevalstiskās organizācijas (6.1. apakšsadaļa), tajā pašā laikā anotācijas 6.3. apakšsadaļā, skaidrojot sabiedrības līdzdalības rezultātus, tiek uzskaitīta virkne lauksaimnieku nevalstisko organizāciju, kuras bija iesaistītas noteikumu projekta sabiedrības līdzdalības procesā. Attiecīgi nepieciešams salāgot noteikumu projekta anotācijā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6.1. un 6.3. apakšsadaļā.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Ja lauksaimnieks neievēro sociālo nosacījumu sistēmas prasības attiecībā uz darba apstākļiem un nodarbinātības noteikumiem, tiešo maksājumu apmēru samazina atbilstoši šo noteikumu </w:t>
            </w:r>
            <w:r w:rsidR="00000000" w:rsidRPr="00000000" w:rsidDel="00000000">
              <w:rPr>
                <w:rtl w:val="0"/>
              </w:rPr>
              <w:t xml:space="preserve">357.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357.</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357.</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vienveidīgi atsaukties uz sociālo nosacījumu sistēmas prasībām, jo šobrīd, piem., noteikumu projekta 4. punktā norādīts uz sociālo nosacījumu sistēmas prasībām attiecībā uz darba apstākļiem un nodarbinātības noteikumiem, cituviet norādīts uz šo noteikumu 8.</w:t>
            </w:r>
            <w:r w:rsidR="00000000" w:rsidRPr="00000000" w:rsidDel="00000000">
              <w:rPr>
                <w:vertAlign w:val="superscript"/>
                <w:rtl w:val="0"/>
              </w:rPr>
              <w:t xml:space="preserve">1</w:t>
            </w:r>
            <w:r w:rsidR="00000000" w:rsidRPr="00000000" w:rsidDel="00000000">
              <w:rPr>
                <w:rtl w:val="0"/>
              </w:rPr>
              <w:t xml:space="preserve"> pielikumā noteiktām sociālo nosacījumu sistēmas prasībām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kontekstā ar grozījumiem noteikumu projekta 16. punktā, vēršam uzmanību, ka tajā lietotais formulējums "īpašumā vai tiesiskajā valdījumā (lietošanā)" vienlaicīgi tiek lietots arī citās noteikumu Nr.198 normās, piem., 6., 67. punktā, tomēr cituviet šajos noteikumos tiek lietoti arī tādi formulējumi kā "īpašumā vai lietošanā" (noteikumu Nr.198 82. punkts) un "īpašumā vai valdījumā" (noteikumu Nr.198 249. punkts). Attiecīgi lūdzam izvērtēt un nodrošināt vienveidīgu noteikumu Nr. 198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r w:rsidR="00000000" w:rsidRPr="00000000" w:rsidDel="00000000">
              <w:rPr>
                <w:vertAlign w:val="superscript"/>
                <w:rtl w:val="0"/>
              </w:rPr>
              <w:t xml:space="preserve">2</w:t>
            </w:r>
            <w:r w:rsidR="00000000" w:rsidRPr="00000000" w:rsidDel="00000000">
              <w:rPr>
                <w:rtl w:val="0"/>
              </w:rPr>
              <w:t xml:space="preserve"> Ja lauksaimnieks neievēro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noteiktās sociālo nosacījumu sistēmas prasības attiecībā uz darba apstākļiem un nodarbinātības noteikumiem, tiešo maksājumu apmēru samazina atbilstoši šo noteikumu </w:t>
            </w:r>
            <w:r w:rsidR="00000000" w:rsidRPr="00000000" w:rsidDel="00000000">
              <w:rPr>
                <w:rtl w:val="0"/>
              </w:rPr>
              <w:t xml:space="preserve">357.</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357.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 un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pielikumam</w:t>
            </w:r>
            <w:r w:rsidR="00000000" w:rsidRPr="00000000" w:rsidDel="00000000">
              <w:rPr>
                <w:rtl w:val="0"/>
              </w:rPr>
              <w:t xml:space="preserve">, kā arī regulas 2021/2116 85. panta 6.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Ja šo noteikumu </w:t>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prasītie dati nav Valsts augu aizsardzības dienesta rīcībā, tad lauksaimnieks tos iesniedz kopā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vai norāda, ka augsnes analīzes veic un augsnes organiskās vielas saturu nosaka Valsts augu aizsardzības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vai sniegt izvērstāku skaidrojumu par noteikumu projekta 9. un 10. punktu. Vēršam uzmanību, ka atbilstoši noteikumu projekta 9. punktam augsnes analīzi veic akreditēta Eiropas Savienības laboratorija, bet 10. punktam - Valsts augu aizsardzības dienests, tomēr nav skaidri noteikts, kuros gadījumos augsnes analīzes veic Valsts augu aizsardzības dienests, lai tiesību normu piemērotājam būtu skaidri saprotams, kad, iespējams, ir jāpiesaista akreditēta Eiropas Savienības laboratorija un kuros gadījumos, iesniedzot noteikumu projekta 8. punktā minēto iesniegumu, norāda, ka augsnes analīzes veic Valsts augu aizsardzības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3</w:t>
            </w:r>
            <w:r w:rsidR="00000000" w:rsidRPr="00000000" w:rsidDel="00000000">
              <w:rPr>
                <w:rtl w:val="0"/>
              </w:rPr>
              <w:t xml:space="preserve"> Ja šo noteikumu </w:t>
            </w:r>
            <w:r w:rsidR="00000000" w:rsidRPr="00000000" w:rsidDel="00000000">
              <w:rPr>
                <w:rtl w:val="0"/>
              </w:rPr>
              <w:t xml:space="preserve">61.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prasītie dati nav Valsts augu aizsardzības dienesta rīcībā, tad lauksaimnieks tos iesniedz kopā ar šo noteikumu </w:t>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iesniegumu vai norāda, ka augsnes analīzes veic un augsnes organiskās vielas saturu nosaka Valsts augu aizsardzības dienests.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Pamatojoties uz augšņu agroķīmiskās izpētes, agroķīmisko pakalpojumu sniedzēju vai augsnes paraugu analīzes datiem, kuros norādīta informācija par organiskās vielas saturu, uzskatāms, ka platība neatbilst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dotajai definīcijai, ja organiskās vielas sastāvs ir mazāks par 35 procentiem, vai ka platība atbilst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dotajai definīcijai, ja organiskās vielas sastāvs ir vismaz 35 procenti.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11. punktu kontekstā ar noteikumu projekta 5. punktu, izvērtējot, vai to saturs daļēji nedublējas. Proti, noteikumu projekta 5. punktā konkrēti noteikts, ka "</w:t>
            </w:r>
            <w:r w:rsidR="00000000" w:rsidRPr="00000000" w:rsidDel="00000000">
              <w:rPr>
                <w:i w:val="1"/>
                <w:rtl w:val="0"/>
              </w:rPr>
              <w:t xml:space="preserve">Kūdrāju augsne lauksaimniecības zemē ir augsne, kas satur vismaz 35 procentus organisko vielu ne mazāk kā 40 centimetru biezā kūdras slānī</w:t>
            </w:r>
            <w:r w:rsidR="00000000" w:rsidRPr="00000000" w:rsidDel="00000000">
              <w:rPr>
                <w:rtl w:val="0"/>
              </w:rPr>
              <w:t xml:space="preserve">.", papildus arī 11. punktā nosakot, ka platība neatbilst 5. punktā noteiktajai definīcijai, ja organiskās vielas sastāvs ir mazāks par 35 procentiem, kas šķietami izriet jau no noteikumu projekta 5. punkta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4</w:t>
            </w:r>
            <w:r w:rsidR="00000000" w:rsidRPr="00000000" w:rsidDel="00000000">
              <w:rPr>
                <w:rtl w:val="0"/>
              </w:rPr>
              <w:t xml:space="preserve"> Pamatojoties uz augšņu agroķīmiskās izpētes, agroķīmisko pakalpojumu sniedzēju vai augsnes paraugu analīzes datiem, kuros norādīta informācija par organiskās vielas saturu, tiek noteikts, vai platība atbilst šo noteikumu </w:t>
            </w:r>
            <w:r w:rsidR="00000000" w:rsidRPr="00000000" w:rsidDel="00000000">
              <w:rPr>
                <w:rtl w:val="0"/>
              </w:rPr>
              <w:t xml:space="preserve">60. </w:t>
            </w:r>
            <w:r w:rsidR="00000000" w:rsidRPr="00000000" w:rsidDel="00000000">
              <w:rPr>
                <w:rtl w:val="0"/>
              </w:rPr>
              <w:t xml:space="preserve">punktā</w:t>
            </w:r>
            <w:r w:rsidR="00000000" w:rsidRPr="00000000" w:rsidDel="00000000">
              <w:rPr>
                <w:rtl w:val="0"/>
              </w:rPr>
              <w:t xml:space="preserve"> dotajai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lauksaimnieks informāciju par saimniecībai vajadzīgā slāpekļa daudzumu, kas noteikts saskaņā ar šo noteikumu </w:t>
            </w:r>
            <w:r w:rsidR="00000000" w:rsidRPr="00000000" w:rsidDel="00000000">
              <w:rPr>
                <w:rtl w:val="0"/>
              </w:rPr>
              <w:t xml:space="preserve">161.1.</w:t>
            </w:r>
            <w:r w:rsidR="00000000" w:rsidRPr="00000000" w:rsidDel="00000000">
              <w:rPr>
                <w:rtl w:val="0"/>
              </w:rPr>
              <w:t xml:space="preserve"> apakšpunktu</w:t>
            </w:r>
            <w:r w:rsidR="00000000" w:rsidRPr="00000000" w:rsidDel="00000000">
              <w:rPr>
                <w:rtl w:val="0"/>
              </w:rPr>
              <w:t xml:space="preserve">, un informāciju, kas fiksēta saskaņā ar šo noteikumu ​​​​​​​</w:t>
            </w:r>
            <w:r w:rsidR="00000000" w:rsidRPr="00000000" w:rsidDel="00000000">
              <w:rPr>
                <w:rtl w:val="0"/>
              </w:rPr>
              <w:t xml:space="preserve">161.3.</w:t>
            </w:r>
            <w:r w:rsidR="00000000" w:rsidRPr="00000000" w:rsidDel="00000000">
              <w:rPr>
                <w:rtl w:val="0"/>
              </w:rPr>
              <w:t xml:space="preserve"> apakšpunktu</w:t>
            </w:r>
            <w:r w:rsidR="00000000" w:rsidRPr="00000000" w:rsidDel="00000000">
              <w:rPr>
                <w:rtl w:val="0"/>
              </w:rPr>
              <w:t xml:space="preserve">, elektroniski iesniedz Lauku atbalsta dienestā, aizpildot veidlapu, kuras paraugs pieejams Lauku atbalsta dienesta elektroniskajā pieteikšanās sistēmā, vai to augšupielādējot Valsts augu aizsardzības dienesta uzturētajā informācijas sistēmā līdz kārtējā gada 5.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tikai noteikumu Nr. 198 161.4. un 163.4. apakšpunktos noteiktā informācija sniedzama elektroniski. Proti, vēršam uzmanību, ka arī citos noteikumu Nr. 198 punktos, piemēram, 210. punktā, paredzēta informācijas sniegšana Lauku atbalsta dienestā, nenosakot formu kādā nodrošināma tās sniegšana. Gadījumā, ja informācija elektroniski sniedzama tikai konkrētajos noteikumu Nr. 198 apakšpunktos, lūdzam noteikumu projekta anotācijas 1.3. apakšsadaļā norādīt, kāpēc informācija elektroniski sniedzama cita starpā tikai noteikumu Nr. 198 161.4. un 163.4. apakšpunktos minētajos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161.4. lauksaimnieks informāciju par saimniecībai vajadzīgā slāpekļa daudzumu, kas noteikts saskaņā ar šo noteikumu </w:t>
            </w:r>
            <w:r w:rsidR="00000000" w:rsidRPr="00000000" w:rsidDel="00000000">
              <w:rPr>
                <w:rtl w:val="0"/>
              </w:rPr>
              <w:t xml:space="preserve">161.1.</w:t>
            </w:r>
            <w:r w:rsidR="00000000" w:rsidRPr="00000000" w:rsidDel="00000000">
              <w:rPr>
                <w:rtl w:val="0"/>
              </w:rPr>
              <w:t xml:space="preserve"> apakšpunktu</w:t>
            </w:r>
            <w:r w:rsidR="00000000" w:rsidRPr="00000000" w:rsidDel="00000000">
              <w:rPr>
                <w:rtl w:val="0"/>
              </w:rPr>
              <w:t xml:space="preserve">, un informāciju, kas fiksēta saskaņā ar šo noteikumu </w:t>
            </w:r>
            <w:r w:rsidR="00000000" w:rsidRPr="00000000" w:rsidDel="00000000">
              <w:rPr>
                <w:rtl w:val="0"/>
              </w:rPr>
              <w:t xml:space="preserve">161.3.</w:t>
            </w:r>
            <w:r w:rsidR="00000000" w:rsidRPr="00000000" w:rsidDel="00000000">
              <w:rPr>
                <w:rtl w:val="0"/>
              </w:rPr>
              <w:t xml:space="preserve"> apakšpunktu</w:t>
            </w:r>
            <w:r w:rsidR="00000000" w:rsidRPr="00000000" w:rsidDel="00000000">
              <w:rPr>
                <w:rtl w:val="0"/>
              </w:rPr>
              <w:t xml:space="preserve">, elektroniski iesniedz Lauku atbalsta dienestā, aizpildot veidlapu, kuras paraugs pieejams Lauku atbalsta dienesta elektroniskajā pieteikšanās sistēmā, vai to augšupielādējot Valsts augu aizsardzības dienesta uzturētajā informācijas sistēmā līdz kārtējā gada 5.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r w:rsidR="00000000" w:rsidRPr="00000000" w:rsidDel="00000000">
              <w:rPr>
                <w:vertAlign w:val="superscript"/>
                <w:rtl w:val="0"/>
              </w:rPr>
              <w:t xml:space="preserve">1</w:t>
            </w:r>
            <w:r w:rsidR="00000000" w:rsidRPr="00000000" w:rsidDel="00000000">
              <w:rPr>
                <w:rtl w:val="0"/>
              </w:rPr>
              <w:t xml:space="preserve"> Ja Valsts darba inspekcija, īstenojot valsts uzraudzību un kontroli darba tiesisko attiecību un darba aizsardzības jomā, konstatē neatbilstības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ietvertajām prasībām, tā ne retāk kā vienu reizi gadā informē Lauku atbalsta dienestu par tām neatbilstībām, par kurām ir pieņemts lēmums, kas kļuvis izpildāms.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Nr. 198 papildināšana ar uzdevumiem Valsts darba inspekcijai nerada tai papildus administratīvo un finansiālo slogu, ņemot vērā, ka tai ne retāk kā vienu reizi gadā jāinformē Lauku atbalsta dienestu par tām neatbilstībām (noteikumu Nr.198 8.</w:t>
            </w:r>
            <w:r w:rsidR="00000000" w:rsidRPr="00000000" w:rsidDel="00000000">
              <w:rPr>
                <w:vertAlign w:val="superscript"/>
                <w:rtl w:val="0"/>
              </w:rPr>
              <w:t xml:space="preserve">1</w:t>
            </w:r>
            <w:r w:rsidR="00000000" w:rsidRPr="00000000" w:rsidDel="00000000">
              <w:rPr>
                <w:rtl w:val="0"/>
              </w:rPr>
              <w:t xml:space="preserve"> pielikumam). Konstatējot ietekmi uz Valsts darba inspekciju, lūdzam atspoguļot ietekmes aprakstu noteikumu projekta anotācijas 7.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w:t>
            </w:r>
            <w:r w:rsidR="00000000" w:rsidRPr="00000000" w:rsidDel="00000000">
              <w:rPr>
                <w:vertAlign w:val="superscript"/>
                <w:rtl w:val="0"/>
              </w:rPr>
              <w:t xml:space="preserve">1</w:t>
            </w:r>
            <w:r w:rsidR="00000000" w:rsidRPr="00000000" w:rsidDel="00000000">
              <w:rPr>
                <w:rtl w:val="0"/>
              </w:rPr>
              <w:t xml:space="preserve"> Ja Valsts darba inspekcija, īstenojot valsts uzraudzību un kontroli darba tiesisko attiecību un darba aizsardzības jomā, konstatē neatbilstības šo noteikumu </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w:t>
            </w:r>
            <w:r w:rsidR="00000000" w:rsidRPr="00000000" w:rsidDel="00000000">
              <w:rPr>
                <w:rtl w:val="0"/>
              </w:rPr>
              <w:t xml:space="preserve">noteiktajām sociālo nosacījumu sistēmas prasībām, tā ne retāk kā vienu reizi gadā informē Lauku atbalsta dienestu par tām neatbilstībām, par kurām ir pieņemts nolēmums, kas kļuvis izpildāms.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24-TA-1632</w:t>
    </w:r>
    <w:r>
      <w:br/>
    </w:r>
    <w:r w:rsidR="00000000" w:rsidRPr="00000000" w:rsidDel="00000000">
      <w:rPr>
        <w:rtl w:val="0"/>
      </w:rPr>
      <w:t xml:space="preserve">03.10.2024. 10.11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24-TA-1632</w:t>
    </w:r>
    <w:r>
      <w:br/>
    </w:r>
    <w:r w:rsidR="00000000" w:rsidRPr="00000000" w:rsidDel="00000000">
      <w:rPr>
        <w:rtl w:val="0"/>
      </w:rPr>
      <w:t xml:space="preserve">03.10.2024. 10.11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Izziņa_24-TA-1632.docx</dc:title>
</cp:coreProperties>
</file>

<file path=docProps/custom.xml><?xml version="1.0" encoding="utf-8"?>
<Properties xmlns="http://schemas.openxmlformats.org/officeDocument/2006/custom-properties" xmlns:vt="http://schemas.openxmlformats.org/officeDocument/2006/docPropsVTypes"/>
</file>