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C8020" w14:textId="77777777" w:rsidR="00EF40FD" w:rsidRDefault="00EF40FD" w:rsidP="00EF40FD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Inese Suharuka [mailto:Inese.Suharuka@pvd.gov.lv]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Wednesday, February 17, 2021 10:50 AM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Māra Melnbārde &lt;Mara.Melnbarde@varam.gov.lv&gt;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Iveta Šice-Trēde &lt;Iveta.Sice-Trede@pvd.gov.lv&gt;; Ilze Dombrovska &lt;Ilze.Dombrovska@pvd.gov.lv&gt;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FW: PVD.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Normatīvo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aktu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grozījumi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saistībā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invazīvām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sugām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Importance: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High</w:t>
      </w:r>
    </w:p>
    <w:p w14:paraId="7A6C8021" w14:textId="77777777" w:rsidR="00EF40FD" w:rsidRDefault="00EF40FD" w:rsidP="00EF40FD"/>
    <w:p w14:paraId="7A6C8022" w14:textId="77777777" w:rsidR="00EF40FD" w:rsidRDefault="00EF40FD" w:rsidP="00EF40FD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b/>
          <w:bCs/>
          <w:color w:val="9C6500"/>
          <w:sz w:val="20"/>
          <w:szCs w:val="20"/>
        </w:rPr>
        <w:t>INFORMĀCIJA: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7A6C8023" w14:textId="77777777" w:rsidR="00EF40FD" w:rsidRDefault="00EF40FD" w:rsidP="00EF40FD">
      <w:pPr>
        <w:rPr>
          <w:rFonts w:eastAsia="Times New Roman"/>
        </w:rPr>
      </w:pPr>
    </w:p>
    <w:p w14:paraId="7A6C8024" w14:textId="77777777" w:rsidR="00EF40FD" w:rsidRDefault="00EF40FD" w:rsidP="00EF40FD">
      <w:pPr>
        <w:rPr>
          <w:rFonts w:ascii="Calibri" w:hAnsi="Calibri" w:cs="Calibri"/>
          <w:sz w:val="22"/>
          <w:szCs w:val="22"/>
          <w:lang w:val="en-US" w:eastAsia="en-US"/>
        </w:rPr>
      </w:pP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Labdien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! </w:t>
      </w:r>
    </w:p>
    <w:p w14:paraId="7A6C8025" w14:textId="77777777" w:rsidR="00EF40FD" w:rsidRDefault="00EF40FD" w:rsidP="0047083A">
      <w:pPr>
        <w:jc w:val="both"/>
        <w:rPr>
          <w:rFonts w:ascii="Calibri" w:hAnsi="Calibri" w:cs="Calibri"/>
          <w:sz w:val="22"/>
          <w:szCs w:val="22"/>
          <w:lang w:val="en-US" w:eastAsia="en-US"/>
        </w:rPr>
      </w:pPr>
      <w:r>
        <w:rPr>
          <w:rFonts w:ascii="Calibri" w:hAnsi="Calibri" w:cs="Calibri"/>
          <w:sz w:val="22"/>
          <w:szCs w:val="22"/>
          <w:lang w:val="en-US" w:eastAsia="en-US"/>
        </w:rPr>
        <w:t xml:space="preserve">Saskaņā ar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projekta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7.punktu, kas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groza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likuma 6.pantu,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attiecībā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uz PVD ir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noteikts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- </w:t>
      </w:r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 xml:space="preserve">saskaņā ar </w:t>
      </w:r>
      <w:proofErr w:type="spellStart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>Regulas</w:t>
      </w:r>
      <w:proofErr w:type="spellEnd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 xml:space="preserve"> Nr.  1143/2014 15. un 16. </w:t>
      </w:r>
      <w:proofErr w:type="spellStart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>pantu</w:t>
      </w:r>
      <w:proofErr w:type="spellEnd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>veic</w:t>
      </w:r>
      <w:proofErr w:type="spellEnd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>kompetentās</w:t>
      </w:r>
      <w:proofErr w:type="spellEnd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 xml:space="preserve"> institūcijas </w:t>
      </w:r>
      <w:proofErr w:type="spellStart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>pienākumus</w:t>
      </w:r>
      <w:proofErr w:type="spellEnd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>attiecībā</w:t>
      </w:r>
      <w:proofErr w:type="spellEnd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 xml:space="preserve"> uz </w:t>
      </w:r>
      <w:proofErr w:type="spellStart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>invazīvām</w:t>
      </w:r>
      <w:proofErr w:type="spellEnd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>sugām</w:t>
      </w:r>
      <w:proofErr w:type="spellEnd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 xml:space="preserve"> uz </w:t>
      </w:r>
      <w:proofErr w:type="spellStart"/>
      <w:r>
        <w:rPr>
          <w:rFonts w:ascii="Calibri" w:hAnsi="Calibri" w:cs="Calibri"/>
          <w:i/>
          <w:iCs/>
          <w:sz w:val="22"/>
          <w:szCs w:val="22"/>
          <w:lang w:val="en-US" w:eastAsia="en-US"/>
        </w:rPr>
        <w:t>robežas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. Līdz ar to PVD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saskarsies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ar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invazīvo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sugu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kontroli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uz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robežas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Tādējādi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PVD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kompetence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attieksies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uz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līdzšinējā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30.</w:t>
      </w:r>
      <w:r>
        <w:rPr>
          <w:rFonts w:ascii="Calibri" w:hAnsi="Calibri" w:cs="Calibri"/>
          <w:sz w:val="22"/>
          <w:szCs w:val="22"/>
          <w:vertAlign w:val="superscript"/>
          <w:lang w:val="en-US" w:eastAsia="en-US"/>
        </w:rPr>
        <w:t xml:space="preserve">1 </w:t>
      </w:r>
      <w:r>
        <w:rPr>
          <w:rFonts w:ascii="Calibri" w:hAnsi="Calibri" w:cs="Calibri"/>
          <w:sz w:val="22"/>
          <w:szCs w:val="22"/>
          <w:lang w:val="en-US" w:eastAsia="en-US"/>
        </w:rPr>
        <w:t xml:space="preserve">panta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pirmās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daļas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šo “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pārvietojot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tranzīta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muitas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procedūrā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, vai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transportēšanu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uz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Eiropas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Savienību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”,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savukārt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pārējo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tur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norādīto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PVD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nekontrolē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Ņemot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vērā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>, ka “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neielaišana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valstī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” nav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Administratīvās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atbildības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likumā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paredzēts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soda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veids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, PVD saskaņā ar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Regulu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Nr. 1143/2014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veiks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kontroli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, kā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jau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tas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minēts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likumprojektā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, bet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nepiemēros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to kā soda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veidu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Administratīvās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atbildības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likuma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izpratnē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. Līdz ar to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svītrojama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likumprojekta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13.punktā noteiktā PVD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kompetence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30.</w:t>
      </w:r>
      <w:r>
        <w:rPr>
          <w:rFonts w:ascii="Calibri" w:hAnsi="Calibri" w:cs="Calibri"/>
          <w:sz w:val="22"/>
          <w:szCs w:val="22"/>
          <w:vertAlign w:val="superscript"/>
          <w:lang w:val="en-US" w:eastAsia="en-US"/>
        </w:rPr>
        <w:t>1</w:t>
      </w:r>
      <w:r>
        <w:rPr>
          <w:rFonts w:ascii="Calibri" w:hAnsi="Calibri" w:cs="Calibri"/>
          <w:sz w:val="22"/>
          <w:szCs w:val="22"/>
          <w:lang w:val="en-US" w:eastAsia="en-US"/>
        </w:rPr>
        <w:t xml:space="preserve"> panta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pirmās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daļas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piemērošanā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>.</w:t>
      </w:r>
    </w:p>
    <w:p w14:paraId="7A6C8026" w14:textId="77777777" w:rsidR="00EF40FD" w:rsidRDefault="00EF40FD" w:rsidP="0047083A">
      <w:pPr>
        <w:jc w:val="both"/>
        <w:rPr>
          <w:rFonts w:ascii="Calibri" w:hAnsi="Calibri" w:cs="Calibri"/>
          <w:sz w:val="22"/>
          <w:szCs w:val="22"/>
          <w:lang w:val="en-US" w:eastAsia="en-US"/>
        </w:rPr>
      </w:pPr>
      <w:r>
        <w:rPr>
          <w:rFonts w:ascii="Calibri" w:hAnsi="Calibri" w:cs="Calibri"/>
          <w:sz w:val="22"/>
          <w:szCs w:val="22"/>
          <w:lang w:val="en-US" w:eastAsia="en-US"/>
        </w:rPr>
        <w:t xml:space="preserve">Lai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nepazaudētu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atlikušo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30.</w:t>
      </w:r>
      <w:r>
        <w:rPr>
          <w:rFonts w:ascii="Calibri" w:hAnsi="Calibri" w:cs="Calibri"/>
          <w:sz w:val="22"/>
          <w:szCs w:val="22"/>
          <w:vertAlign w:val="superscript"/>
          <w:lang w:val="en-US" w:eastAsia="en-US"/>
        </w:rPr>
        <w:t>1</w:t>
      </w:r>
      <w:r>
        <w:rPr>
          <w:rFonts w:ascii="Calibri" w:hAnsi="Calibri" w:cs="Calibri"/>
          <w:sz w:val="22"/>
          <w:szCs w:val="22"/>
          <w:lang w:val="en-US" w:eastAsia="en-US"/>
        </w:rPr>
        <w:t xml:space="preserve"> panta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pirmās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daļas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pārkāpumu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sastāvu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, ir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jāatzīmē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iestāde, kas to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uzraudzīs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. </w:t>
      </w:r>
    </w:p>
    <w:p w14:paraId="7A6C8027" w14:textId="77777777" w:rsidR="00EF40FD" w:rsidRDefault="00EF40FD" w:rsidP="0047083A">
      <w:pPr>
        <w:jc w:val="both"/>
        <w:rPr>
          <w:rFonts w:ascii="Calibri" w:hAnsi="Calibri" w:cs="Calibri"/>
          <w:sz w:val="22"/>
          <w:szCs w:val="22"/>
          <w:lang w:val="en-US" w:eastAsia="en-US"/>
        </w:rPr>
      </w:pP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Tāpat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PVD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ieskatā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ir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svītrojama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likumprojekta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13.punktā noteiktā PVD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kompetence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administratīvā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pārkāpuma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procesa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uzsākšanā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par 30.</w:t>
      </w:r>
      <w:r>
        <w:rPr>
          <w:rFonts w:ascii="Calibri" w:hAnsi="Calibri" w:cs="Calibri"/>
          <w:sz w:val="22"/>
          <w:szCs w:val="22"/>
          <w:vertAlign w:val="superscript"/>
          <w:lang w:val="en-US" w:eastAsia="en-US"/>
        </w:rPr>
        <w:t>1</w:t>
      </w:r>
      <w:r>
        <w:rPr>
          <w:rFonts w:ascii="Calibri" w:hAnsi="Calibri" w:cs="Calibri"/>
          <w:sz w:val="22"/>
          <w:szCs w:val="22"/>
          <w:lang w:val="en-US" w:eastAsia="en-US"/>
        </w:rPr>
        <w:t xml:space="preserve"> panta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otrās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trešās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un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ceturtās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daļas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pārkāpumiem,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tā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kā tur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minētos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pārkāpumus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uz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robežas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PVD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nekonstatēs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>.</w:t>
      </w:r>
    </w:p>
    <w:p w14:paraId="7A6C8028" w14:textId="77777777" w:rsidR="00EF40FD" w:rsidRDefault="00EF40FD" w:rsidP="00EF40FD">
      <w:pPr>
        <w:rPr>
          <w:rFonts w:ascii="Calibri" w:hAnsi="Calibri" w:cs="Calibri"/>
          <w:sz w:val="22"/>
          <w:szCs w:val="22"/>
          <w:lang w:val="en-US" w:eastAsia="en-US"/>
        </w:rPr>
      </w:pPr>
    </w:p>
    <w:p w14:paraId="7A6C8029" w14:textId="77777777" w:rsidR="00EF40FD" w:rsidRDefault="00EF40FD" w:rsidP="00EF40FD">
      <w:pPr>
        <w:rPr>
          <w:rFonts w:ascii="Verdana" w:hAnsi="Verdana"/>
          <w:color w:val="808080"/>
          <w:sz w:val="18"/>
          <w:szCs w:val="18"/>
        </w:rPr>
      </w:pPr>
      <w:r>
        <w:rPr>
          <w:rFonts w:ascii="Verdana" w:hAnsi="Verdana"/>
          <w:i/>
          <w:iCs/>
          <w:color w:val="808080"/>
          <w:sz w:val="18"/>
          <w:szCs w:val="18"/>
        </w:rPr>
        <w:t>Ar cieņu</w:t>
      </w:r>
    </w:p>
    <w:p w14:paraId="7A6C802A" w14:textId="77777777" w:rsidR="00EF40FD" w:rsidRDefault="00EF40FD" w:rsidP="00EF40FD">
      <w:pPr>
        <w:rPr>
          <w:rFonts w:ascii="Verdana" w:hAnsi="Verdana"/>
          <w:b/>
          <w:bCs/>
          <w:color w:val="690A0C"/>
          <w:sz w:val="20"/>
          <w:szCs w:val="20"/>
        </w:rPr>
      </w:pPr>
      <w:r>
        <w:rPr>
          <w:rFonts w:ascii="Verdana" w:hAnsi="Verdana"/>
          <w:b/>
          <w:bCs/>
          <w:color w:val="690A0C"/>
          <w:sz w:val="20"/>
          <w:szCs w:val="20"/>
        </w:rPr>
        <w:t>Inese Suharuka</w:t>
      </w:r>
    </w:p>
    <w:p w14:paraId="7A6C802B" w14:textId="77777777" w:rsidR="00EF40FD" w:rsidRDefault="00EF40FD" w:rsidP="00EF40FD">
      <w:pPr>
        <w:rPr>
          <w:rFonts w:ascii="Verdana" w:hAnsi="Verdana"/>
          <w:color w:val="808080"/>
          <w:sz w:val="18"/>
          <w:szCs w:val="18"/>
        </w:rPr>
      </w:pPr>
      <w:r>
        <w:rPr>
          <w:rFonts w:ascii="Verdana" w:hAnsi="Verdana"/>
          <w:color w:val="808080"/>
          <w:sz w:val="18"/>
          <w:szCs w:val="18"/>
        </w:rPr>
        <w:t>Resursu vadības departamenta Juridiskās daļas</w:t>
      </w:r>
    </w:p>
    <w:p w14:paraId="7A6C802C" w14:textId="77777777" w:rsidR="00EF40FD" w:rsidRDefault="00EF40FD" w:rsidP="00EF40FD">
      <w:pPr>
        <w:rPr>
          <w:rFonts w:ascii="Verdana" w:hAnsi="Verdana"/>
          <w:color w:val="808080"/>
          <w:sz w:val="18"/>
          <w:szCs w:val="18"/>
        </w:rPr>
      </w:pPr>
      <w:r>
        <w:rPr>
          <w:rFonts w:ascii="Verdana" w:hAnsi="Verdana"/>
          <w:color w:val="808080"/>
          <w:sz w:val="18"/>
          <w:szCs w:val="18"/>
        </w:rPr>
        <w:t xml:space="preserve">Valsts pārvaldes juriskonsulte </w:t>
      </w:r>
    </w:p>
    <w:p w14:paraId="7A6C802D" w14:textId="77777777" w:rsidR="00EF40FD" w:rsidRDefault="00EF40FD" w:rsidP="00EF40FD">
      <w:pPr>
        <w:rPr>
          <w:rFonts w:ascii="Verdana" w:hAnsi="Verdana"/>
          <w:color w:val="808080"/>
          <w:sz w:val="18"/>
          <w:szCs w:val="18"/>
        </w:rPr>
      </w:pPr>
    </w:p>
    <w:p w14:paraId="7A6C802E" w14:textId="77777777" w:rsidR="00EF40FD" w:rsidRDefault="00EF40FD" w:rsidP="00EF40FD">
      <w:pPr>
        <w:rPr>
          <w:rFonts w:ascii="Verdana" w:hAnsi="Verdana"/>
          <w:color w:val="808080"/>
          <w:sz w:val="18"/>
          <w:szCs w:val="18"/>
        </w:rPr>
      </w:pPr>
      <w:r>
        <w:rPr>
          <w:rFonts w:ascii="Verdana" w:hAnsi="Verdana"/>
          <w:color w:val="808080"/>
          <w:sz w:val="18"/>
          <w:szCs w:val="18"/>
        </w:rPr>
        <w:t>PĀRTIKAS UN VETERINĀRAIS DIENESTS</w:t>
      </w:r>
    </w:p>
    <w:p w14:paraId="7A6C802F" w14:textId="77777777" w:rsidR="00EF40FD" w:rsidRDefault="00EF40FD" w:rsidP="00EF40FD">
      <w:pPr>
        <w:rPr>
          <w:rFonts w:ascii="Verdana" w:hAnsi="Verdana"/>
          <w:color w:val="808080"/>
          <w:sz w:val="18"/>
          <w:szCs w:val="18"/>
        </w:rPr>
      </w:pPr>
      <w:r>
        <w:rPr>
          <w:rFonts w:ascii="Verdana" w:hAnsi="Verdana"/>
          <w:color w:val="808080"/>
          <w:sz w:val="18"/>
          <w:szCs w:val="18"/>
        </w:rPr>
        <w:t>Peldu iela 30, Rīga, LV-1050</w:t>
      </w:r>
    </w:p>
    <w:p w14:paraId="7A6C8030" w14:textId="77777777" w:rsidR="00EF40FD" w:rsidRDefault="00EF40FD" w:rsidP="00EF40FD">
      <w:pPr>
        <w:rPr>
          <w:rFonts w:ascii="Verdana" w:hAnsi="Verdana"/>
          <w:color w:val="808080"/>
          <w:sz w:val="18"/>
          <w:szCs w:val="18"/>
        </w:rPr>
      </w:pPr>
      <w:r>
        <w:rPr>
          <w:rFonts w:ascii="Calibri" w:hAnsi="Calibri" w:cs="Calibri"/>
          <w:color w:val="808080"/>
          <w:sz w:val="22"/>
          <w:szCs w:val="22"/>
        </w:rPr>
        <w:t>+371 67084615</w:t>
      </w:r>
    </w:p>
    <w:p w14:paraId="7A6C8031" w14:textId="77777777" w:rsidR="00EF40FD" w:rsidRDefault="0047083A" w:rsidP="00EF40FD">
      <w:pPr>
        <w:rPr>
          <w:rFonts w:ascii="Verdana" w:hAnsi="Verdana"/>
          <w:color w:val="808080"/>
          <w:sz w:val="18"/>
          <w:szCs w:val="18"/>
          <w:u w:val="single"/>
        </w:rPr>
      </w:pPr>
      <w:hyperlink r:id="rId4" w:history="1">
        <w:r w:rsidR="00EF40FD">
          <w:rPr>
            <w:rStyle w:val="Hyperlink"/>
            <w:rFonts w:ascii="Calibri" w:hAnsi="Calibri" w:cs="Calibri"/>
            <w:color w:val="808080"/>
            <w:sz w:val="22"/>
            <w:szCs w:val="22"/>
          </w:rPr>
          <w:t>Inese.Suharuka@pvd.gov.lv</w:t>
        </w:r>
      </w:hyperlink>
    </w:p>
    <w:p w14:paraId="7A6C8032" w14:textId="77777777" w:rsidR="00EF40FD" w:rsidRDefault="0047083A" w:rsidP="00EF40FD">
      <w:pPr>
        <w:rPr>
          <w:rFonts w:ascii="Verdana" w:hAnsi="Verdana"/>
          <w:color w:val="767171"/>
          <w:sz w:val="18"/>
          <w:szCs w:val="18"/>
          <w:u w:val="single"/>
        </w:rPr>
      </w:pPr>
      <w:hyperlink r:id="rId5" w:history="1">
        <w:r w:rsidR="00EF40FD">
          <w:rPr>
            <w:rStyle w:val="Hyperlink"/>
            <w:rFonts w:ascii="Verdana" w:hAnsi="Verdana" w:cs="Calibri"/>
            <w:color w:val="767171"/>
            <w:sz w:val="18"/>
            <w:szCs w:val="18"/>
          </w:rPr>
          <w:t>www.pvd.gov.lv</w:t>
        </w:r>
      </w:hyperlink>
    </w:p>
    <w:p w14:paraId="7A6C8033" w14:textId="77777777" w:rsidR="00A005E1" w:rsidRDefault="00A005E1"/>
    <w:sectPr w:rsidR="00A005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0FD"/>
    <w:rsid w:val="0047083A"/>
    <w:rsid w:val="00A005E1"/>
    <w:rsid w:val="00EF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8020"/>
  <w15:chartTrackingRefBased/>
  <w15:docId w15:val="{87024BBA-FBE0-4061-8FAC-B84DF4B9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0FD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4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6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vd.gov.lv/" TargetMode="External"/><Relationship Id="rId4" Type="http://schemas.openxmlformats.org/officeDocument/2006/relationships/hyperlink" Target="mailto:pvd@p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1228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VARAM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PVDInf_17022021_Groz_SBL.158</dc:title>
  <dc:subject>Atzinums</dc:subject>
  <dc:creator>Māra Melnbārde</dc:creator>
  <cp:keywords/>
  <dc:description>67026917,mara.melnbarde@varam.gov.lv</dc:description>
  <cp:lastModifiedBy>Madara Gaile</cp:lastModifiedBy>
  <cp:revision>2</cp:revision>
  <dcterms:created xsi:type="dcterms:W3CDTF">2021-02-24T14:47:00Z</dcterms:created>
  <dcterms:modified xsi:type="dcterms:W3CDTF">2021-02-26T09:35:00Z</dcterms:modified>
  <cp:category>Vides politika Dabas aizsardzība</cp:category>
</cp:coreProperties>
</file>