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23-TA-2105: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14. jūnija noteikumos Nr. 342 "Noteikumi par Eiropas Savienības kohēzijas politikas programmas  2021.–2027. gadam tehniskās palīdzības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(08.10.2022.)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gan noteikumu projektā, gan anotācijā lietot vienotu terminoloģiju attiecībā uz "tehniskās palīdzības prioritātes “Kapacitātes stiprināšanas pasākumi”, jo reizēm figurē "prioritāte", "Eiropas Savienības fondu tehniskās palīdzības prioritāte".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Gan noteikumu projektā, gan anotācijā lietots vienots termins - tehniskās palīdzības prioritātes “Kapacitātes stiprināšanas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sadaļu "Risinājuma apraksts" papildināt ar informāciju, ka projektu izmaksas ir attiecināmas no 2022. gada 1. janvāra.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 papildināta ar šādu informāciju - TP prioritātes "Kapacitātes stiprināšanas pasākumi” aktivitāšu izmaksas ir attiecināmas no 2022. gada 1. janvāra.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pārdalāmā tehniskās palīdzības finansējuma apmēra sadalījumu, lūdzam papildināt anotācijas 1.6. apakšsadaļas “Cita informācija” 2.1.apakšpunktu ar detalizētu skaidrojumu par pārdalāmā tehniskās palīdzības finansējuma sadalījumu atbilstoši panāktajai savstarpējai vienošanās starp VARAM un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 VARAM MK noteikumu Nr. 342 pielikumā norādītā maksimāli pieejamā finansējuma laikposmam no 2024. gada 1. jūlija līdz 2028. gada 31. decembrim tiek pārdalīts finansējums 236 298 </w:t>
            </w:r>
            <w:r w:rsidR="00000000" w:rsidRPr="00000000" w:rsidDel="00000000">
              <w:rPr>
                <w:i w:val="1"/>
                <w:rtl w:val="0"/>
              </w:rPr>
              <w:t xml:space="preserve">euro</w:t>
            </w:r>
            <w:r w:rsidR="00000000" w:rsidRPr="00000000" w:rsidDel="00000000">
              <w:rPr>
                <w:rtl w:val="0"/>
              </w:rPr>
              <w:t xml:space="preserve">  apmērā, kas ietver horizontālā principa “Klimatdrošināšana” </w:t>
            </w:r>
            <w:r w:rsidR="00000000" w:rsidRPr="00000000" w:rsidDel="00000000">
              <w:rPr>
                <w:i w:val="1"/>
                <w:rtl w:val="0"/>
              </w:rPr>
              <w:t xml:space="preserve">(HP Climate proofing)</w:t>
            </w:r>
            <w:r w:rsidR="00000000" w:rsidRPr="00000000" w:rsidDel="00000000">
              <w:rPr>
                <w:rtl w:val="0"/>
              </w:rPr>
              <w:t xml:space="preserve"> koordināciju investīciju ieviešanai iepriekš paredzēto finansējumu 150 000 </w:t>
            </w:r>
            <w:r w:rsidR="00000000" w:rsidRPr="00000000" w:rsidDel="00000000">
              <w:rPr>
                <w:i w:val="1"/>
                <w:rtl w:val="0"/>
              </w:rPr>
              <w:t xml:space="preserve">euro</w:t>
            </w:r>
            <w:r w:rsidR="00000000" w:rsidRPr="00000000" w:rsidDel="00000000">
              <w:rPr>
                <w:rtl w:val="0"/>
              </w:rPr>
              <w:t xml:space="preserve"> apmērā un papildu pārdalāmo finansējumu no VARAM tehniskās palīdzības finansējuma 86 297,52 </w:t>
            </w:r>
            <w:r w:rsidR="00000000" w:rsidRPr="00000000" w:rsidDel="00000000">
              <w:rPr>
                <w:i w:val="1"/>
                <w:rtl w:val="0"/>
              </w:rPr>
              <w:t xml:space="preserve">euro</w:t>
            </w:r>
            <w:r w:rsidR="00000000" w:rsidRPr="00000000" w:rsidDel="00000000">
              <w:rPr>
                <w:rtl w:val="0"/>
              </w:rPr>
              <w:t xml:space="preserve"> apmērā</w:t>
            </w:r>
            <w:r w:rsidR="00000000" w:rsidRPr="00000000" w:rsidDel="00000000">
              <w:rPr>
                <w:b w:val="1"/>
                <w:rtl w:val="0"/>
              </w:rPr>
              <w:t xml:space="preserve">, ko veido VARAM piešķirtais finansējums atlīdzībai (t.sk. administrēšanai) 56 297,52 </w:t>
            </w:r>
            <w:r w:rsidR="00000000" w:rsidRPr="00000000" w:rsidDel="00000000">
              <w:rPr>
                <w:b w:val="1"/>
                <w:i w:val="1"/>
                <w:rtl w:val="0"/>
              </w:rPr>
              <w:t xml:space="preserve">euro</w:t>
            </w:r>
            <w:r w:rsidR="00000000" w:rsidRPr="00000000" w:rsidDel="00000000">
              <w:rPr>
                <w:b w:val="1"/>
                <w:rtl w:val="0"/>
              </w:rPr>
              <w:t xml:space="preserve"> un finansējums pētījumiem 30 000 </w:t>
            </w:r>
            <w:r w:rsidR="00000000" w:rsidRPr="00000000" w:rsidDel="00000000">
              <w:rPr>
                <w:b w:val="1"/>
                <w:i w:val="1"/>
                <w:rtl w:val="0"/>
              </w:rPr>
              <w:t xml:space="preserve">euro</w:t>
            </w:r>
            <w:r w:rsidR="00000000" w:rsidRPr="00000000" w:rsidDel="00000000">
              <w:rPr>
                <w:b w:val="1"/>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Tehniskās palīdzības MK noteikumi neparedz detālu finansējuma dalījumu katrai atbalstāmajai darbībai/ izmaksu pozīcijai, tad katrs finansējuma saņēmējs ir atbildīgs par tehniskās palīdzības finansējuma korektu izlietojumu tam paredzētajam mērķim nodrošinot efektīvu, pārskatāmu un pareizas finanšu pārvaldības principiem atbilstošu ES fondu ieviešanu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Tehniskās palīdzības ieviešanas modelis ES fondu 2021-2027. gada plānošanas periodā vērsts, lai ievērojami samazinātu administratīvo slogu katram finansējuma saņēmējam un ietaupītu gan finanšu, gan cilvēkresursus administrēšanai.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komentāra mērķi risināt KEM un VARAM savstarpējā komunikācijā attiecībā uz kopējo saistību pieņemšanas un nodošanas procesu, jo šis jautājums nav attiecināms ne TP ieviešanas modeļa īstenošanā, ne šo MK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informāciju par to, kādā veidā Klimata un enerģētikas ministrijai tiks nodrošināta tehniskās palīdzības finansējuma pieejamība 2024. gadā un turpmākajos gados, nepieciešamības gadījumā veicot attiecīgus papildinājumus protokollēmuma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KEM nepieciešamo finansējumu 2024.- 2028. gadam MK noteikumu Nr. 342 pielikumā esošajā apjomā (557 742 euro) KEM jāpieprasa/jālūdz pārdalīt no budžeta resora “74.Gadskārtējā valsts budžeta izpildes procesā pārdalāmais finansējums” programmas 80.00.00 “Nesadalītais finansējums Eiropas Savienības politiku instrumentu un pārējās ārvalstu finanšu palīdzības līdzfinansēto projektu un pasākumu īstenošanai” atbilstoši Ministru kabineta noteikumiem Nr. 421 “Kārtība, kādā veic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būs jāpārdala uz budžeta apakšprogrammu 70.50.00 “Tehniskā palīdzība ERAF, ESF+, KF, TPF finansējuma apgūšanai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fondu tehniskās palīdzības mērķis ir nodrošināt efektīvu, pārskatāmu un pareizas finanšu pārvaldības principiem atbilstošu Eiropas Savienības fondu ieviešanu Latvijā, līdzfinansējot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noteiktās atbalstāmās darbības un šo noteikumu 15. punktā noteikto prioritāti, kā arī celt Eiropas Savienības fondu administrēšanā iesaistīto institūciju kapacitāti.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punkta papildinājumu, lūdzam izvērtēt nepieciešamību palīgteikumam "kā arī celt Eiropas Savienības fondu administrēšanā iesaistīto institūciju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fondu tehniskās palīdzības mērķis ir nodrošināt efektīvu, pārskatāmu un pareizas finanšu pārvaldības principiem atbilstošu Eiropas Savienības fondu ieviešanu Latvijā, līdzfinansējot šo noteikumu 8. punktā noteiktās atbalstāmās darbības un šo noteikumu 15. punktā noteikto prioritāti.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šī punkta redakciju palīgteikumam "kā arī celt Eiropas Savienības fondu administrēšanā iesaistīto institūciju kapacitāti" ir papildinošs raksturs, ko sekmē atbalstāmo darbību un prioritātes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fondu tehniskās palīdzības mērķis ir nodrošināt efektīvu, pārskatāmu un pareizas finanšu pārvaldības principiem atbilstošu Eiropas Savienības fondu ieviešanu Latvijā, līdzfinansējot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noteiktās atbalstāmās darbības un šo noteikumu 15. punktā noteikto prioritāti, kā arī celt Eiropas Savienības fondu administrēšanā iesaistīto institūciju kapacitāti.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18. punktā paredzētā izdevumu atlīdzināšana tiek attiecināta par katru pilnībā sasniegto starprezultātu vai rezultātu. Par sasniegto starprezultātu un rezultātu atbildīga ir Valsts kanceleja, kas Latvijā ir atbildīgā institūcija par Administratīvās kapacitātes ceļa kartes īstenošanu. Sadarbības iestāde veic sasniegto starprezultātu un rezultātu pārbaudi šo noteikumu 15.1. apakšpunktā minētās aktivitātes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vai sniegt skaidrojumu, jo 18. punktā nav paredzēta izdevumu atlīdzināšana.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19.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18. punktā noteiktās aktivitātes ietvaros izpildāmie nosacījumi tiek atlīdzināti par katru pilnībā sasniegto starprezultātu vai rezultātu. Par sasniegto starprezultātu un rezultātu atbildīga ir Valsts kanceleja, kas Latvijā ir atbildīgā institūcija par Administratīvās kapacitātes ceļa kartes īstenošanu. Sadarbības iestāde veic sasniegto starprezultātu un rezultātu pārbaudi šo noteikumu 15.1. apakšpunktā minētās aktivitātes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21. punktā paredzētā izdevumu atlīdzināšana tiek attiecināta par katru pilnībā sasniegto starprezultātu vai rezultātu. Par sasniegto starprezultātu un rezultātu atbildīga ir Centrālā finanšu un līgumu aģentūra. Sadarbības iestāde veic sasniegto starprezultātu un rezultātu pārbaudi 15.2. apakšpunktā minētās aktivitātes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19. punktā, arī 22. punktā nav saprotama atsauce uz 21.punktu.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22.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21. punktā noteiktās aktivitātes ietvaros izpildāmie nosacījumi tiek atlīdzināti par katru pilnībā sasniegto starprezultātu vai rezultātu. Par sasniegto starprezultātu un rezultātu atbildīga ir Centrālā finanšu un līgumu aģentūra. Sadarbības iestāde veic sasniegto starprezultātu un rezultātu pārbaudi 15.2. apakšpunktā minētās aktivitātes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18. un 21. punktā paredzēto izdevumu atlīdzināšana finansējuma saņēmējam notiek atbilstoši Eiropas Parlamenta un Padomes 2021. gada 24. jūnija regulas (ES) 2021/1060 95. panta nosacījumiem, un minētās regulas 5. pielikumā apstiprinātajai summai.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 punktā ir atsauce uz noteikumu 18. un 21. punktu, kas nosaka, ka konkrētās aktivitātes ietvaros izpildāmie nosacījumi vai sasniedzamie rezultāti tiek īstenoti atbilstoši Eiropas Savienības kohēzijas politikas programmas 2021.–2027.gadam 10. pielikumā (18. punkts) vai 11. pielikumā (21 .punkts)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23. punktā nebūtu jāliek atsauce uz noteikumu 19. un 22. punktu, kas nosaka, ka paredzētā izdevumu atlīdzināšana tiek attiecināta par katru pilnībā sasniegto starprezultātu vai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19. un 22. punktā paredzēto izdevumu atlīdzināšana finansējuma saņēmējam notiek atbilstoši Eiropas Parlamenta un Padomes 2021. gada 24. jūnija regulas (ES) 2021/1060 95. panta nosacījumiem, un minētās regulas 5. pielikumā apstiprinātajai summai.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uz 19. un 22.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19. un 22. punktā paredzēto izdevumu atlīdzināšana finansējuma saņēmējam notiek atbilstoši Eiropas Parlamenta un Padomes 2021. gada 24. jūnija regulas (ES) 2021/1060 95. panta nosacījumiem, un minētās regulas 5. pielikumā apstiprinātajai summai.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15.1. apakšpunktā minētās aktivitātes īstenotājs un finansējuma saņēmējs ir šo noteikumu 9.13. apakšpunktā noteiktais finansējuma saņēmējs. Šo noteikumu 15.2. apakšpunktā minētās aktivitātes īstenotājs un finansējuma saņēmējs ir šo noteikumu 9.1. apakšpunktā noteiktais finansējuma saņēmējs. Šajā punktā minētie finansējuma saņēmēji minētās aktivitātes īstenošanai var piesaistīt sadarbības partnerus.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punkts paredz piesaistīt sadarbības partneri 8.11.apakšpunktā minētās atbalstāmās darbības īstenošanai - mācības, konferences, semināri, komitejas, darba grupas un citi pasākumi, kuru mērķis ir pilnveidot Eiropas Savienības fondu vadībā iesaistīto darbinieku un finansējuma saņēmēju profesionālo kompetenci, savukārt 24. noteikumu projekta punkts paredz piesaistīt sadarbības partneri tikai 9.13. un 9.1. apakšpunktā minētie finansējuma saņēmēji. Lūdzam izvērtēt šos punktus, un ja ir pretruna, tad precizēt 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12. punkts ir attiecināms uz tehniskās palīdzības finansējuma saņēmējiem, kas nodrošina klasisko ES fondu administrēšanu (ES fondu projektu uzraudzību, kontroli, plānošanu utt.), bet 24. punktā ir nodalīta atsevišķi TP prioritātes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15.1. apakšpunktā minētās aktivitātes īstenotājs un finansējuma saņēmējs ir šo noteikumu 9.13. apakšpunktā noteiktais finansējuma saņēmējs. Šo noteikumu 15.2. apakšpunktā minētās aktivitātes īstenotājs un finansējuma saņēmējs ir šo noteikumu 9.1. apakšpunktā noteiktais finansējuma saņēmējs. Šajā punktā minētie finansējuma saņēmēji minētās aktivitātes īstenošanai var piesaistīt sadarbības partnerus.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9.1. un 9.13. apakšpunktā noteiktais finansējuma saņēmējs nodrošina šo noteikumu 18. un 21. punktā noteikto starpposma nodevumu un uzdevumu rezultātu uzskaiti atbilstoši Kohēzijas politikas fondu vadības informācijas sistēmā paredzētajam pārskatam. Lai nodrošinātu šo noteikumu 25. punktā noteikto projektu uzraudzību, kā arī, lai Centrālā finanšu un līgumu aģentūra kā sadarbības iestāde varētu veikt pakāpenisku rezultātu pārbaudi, minēto pārskatu finansējuma saņēmējs iesniedz reizi pusgadā līdz kārtējā gada 15.jūlijam un līdz 15. janvārim par iepriekšējo pusgadu, izmantojot Kohēzijas politikas fondu vadības informācijas sistēmu.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 un 20. punktā minēti izpildāmie nosacījumi vai sasniegtie rezultāti, 19. un 22. punktā minēti starprezultāti vai rezultāti, līdz ar to nav saprotams, kas 28. punktā tiek domāts ar nodevumiem. Ierosinām vārdus "starpposma nodevumu un uzdevumu rezultātu" aizvietot ar vārdiem "starprezultātu un rezultātu".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9.1. un 9.13. apakšpunktā noteiktais finansējuma saņēmējs nodrošina šo noteikumu 18. un 21. punktā noteikto starprezultātu un rezultātu uzskaiti atbilstoši Kohēzijas politikas fondu vadības informācijas sistēmā paredzētajam pārskatam. Lai nodrošinātu šo noteikumu 25. punktā noteikto projektu uzraudzību, kā arī, lai Centrālā finanšu un līgumu aģentūra kā sadarbības iestāde varētu veikt pakāpenisku rezultātu pārbaudi, minēto pārskatu finansējuma saņēmējs iesniedz reizi pusgadā līdz kārtējā gada 15.jūlijam un līdz 15. janvārim par iepriekšējo pusgadu, izmantojot Kohēzijas politikas fondu vadības informācijas sistēmu.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28.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9.1. un 9.13. apakšpunktā noteiktais finansējuma saņēmējs nodrošina šo noteikumu 18. un 21. punktā noteikto starprezultātu un rezultātu uzskaiti atbilstoši Kohēzijas politikas fondu vadības informācijas sistēmā paredzētajam pārskatam. Lai nodrošinātu šo noteikumu 25. punktā noteikto projektu uzraudzību, kā arī, lai Centrālā finanšu un līgumu aģentūra kā sadarbības iestāde varētu veikt pakāpenisku rezultātu pārbaudi, minēto pārskatu finansējuma saņēmējs iesniedz reizi pusgadā līdz kārtējā gada 15.jūlijam un līdz 15. janvārim par iepriekšējo pusgadu, izmantojot Kohēzijas politikas fondu vadības informācijas sistēmu.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23-TA-2105</w:t>
    </w:r>
    <w:r>
      <w:br/>
    </w:r>
    <w:r w:rsidR="00000000" w:rsidRPr="00000000" w:rsidDel="00000000">
      <w:rPr>
        <w:rtl w:val="0"/>
      </w:rPr>
      <w:t xml:space="preserve">19.08.2024. 10.11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23-TA-2105</w:t>
    </w:r>
    <w:r>
      <w:br/>
    </w:r>
    <w:r w:rsidR="00000000" w:rsidRPr="00000000" w:rsidDel="00000000">
      <w:rPr>
        <w:rtl w:val="0"/>
      </w:rPr>
      <w:t xml:space="preserve">19.08.2024. 10.11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Izziņa_23-TA-2105.docx</dc:title>
</cp:coreProperties>
</file>

<file path=docProps/custom.xml><?xml version="1.0" encoding="utf-8"?>
<Properties xmlns="http://schemas.openxmlformats.org/officeDocument/2006/custom-properties" xmlns:vt="http://schemas.openxmlformats.org/officeDocument/2006/docPropsVTypes"/>
</file>