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24-TA-2625: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 – 2027. gadam 4.1.1. specifiskā atbalsta mērķa "Nodrošināt vienlīdzīgu piekļuvi veselības aprūpei un stiprināt veselības sistēmu, tostarp primārās veselības aprūpes noturību" 4.1.1.3. pasākuma “Primārās veselības aprūpes lomas stiprināšana, attīstot infrastruktūru” pirmās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w:t>
            </w:r>
            <w:r w:rsidR="00000000" w:rsidRPr="00000000" w:rsidDel="00000000">
              <w:rPr>
                <w:rtl w:val="0"/>
              </w:rPr>
              <w:t xml:space="preserve">22.1.</w:t>
            </w:r>
            <w:r w:rsidR="00000000" w:rsidRPr="00000000" w:rsidDel="00000000">
              <w:rPr>
                <w:rtl w:val="0"/>
              </w:rPr>
              <w:t xml:space="preserve"> apakšpunktā minētais finansējuma saņēmējs infrastruktūras attīstībai piesaista sadarbības partnerus – ārstniecības iestādes, kurām finansējuma saņēmējs nodrošina telpas valsts apmaksāto primārās un sekundārās veselības aprūpes pakalpojumu sniegšanai, un minētajiem sadarbības partneriem un šo noteikumu </w:t>
            </w:r>
            <w:r w:rsidR="00000000" w:rsidRPr="00000000" w:rsidDel="00000000">
              <w:rPr>
                <w:rtl w:val="0"/>
              </w:rPr>
              <w:t xml:space="preserve">22.2.</w:t>
            </w:r>
            <w:r w:rsidR="00000000" w:rsidRPr="00000000" w:rsidDel="00000000">
              <w:rPr>
                <w:rtl w:val="0"/>
              </w:rPr>
              <w:t xml:space="preserve"> apakšpunktā minētajam finansējuma saņēmējam komercdarbības atbalsts tiek piešķirts atbilstoši šīs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 un vienotu projekta iesniegumu izvērtēšanu, lūdzam papildināt noteikumu 13.punktu, norādot gala labuma saņēmējus - finansējuma saņēmējs un/vai sadarbības partneris. Ja ir paredzēts, ka finansējuma saņēmējs piešķir tālāk atbalstu sadarbības partnerim vispārējas tautsaimnieciskas nozīmes pakalpojumu sniegšanai, nepieciešams to norādīt.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norādot, kādos gadījumos valsts atbalsts tiek piešķirts sadarbības partneriem un kādos projekta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noteikumi nosaka – Cēsu klīnika kā projekta iesniedzējs un tās sadarbības partneri, ja attiecināms un RSU sadarbības partneri, kuri plāno attīstīt ģimenes ārsta prakses, kurām ir uzticēts sniegt pakalpojumus ar vispārēju tautsaimniecisku nozīmi, infrastruktūras attīstībai komercdarbības atbalsts tiek piešķirts atbilstoši MK noteikumus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w:t>
            </w:r>
            <w:r w:rsidR="00000000" w:rsidRPr="00000000" w:rsidDel="00000000">
              <w:rPr>
                <w:rtl w:val="0"/>
              </w:rPr>
              <w:t xml:space="preserve">22.2.</w:t>
            </w:r>
            <w:r w:rsidR="00000000" w:rsidRPr="00000000" w:rsidDel="00000000">
              <w:rPr>
                <w:rtl w:val="0"/>
              </w:rPr>
              <w:t xml:space="preserve"> apakšpunktā minētajam finansējuma saņēmējam un šo noteikumu </w:t>
            </w:r>
            <w:r w:rsidR="00000000" w:rsidRPr="00000000" w:rsidDel="00000000">
              <w:rPr>
                <w:rtl w:val="0"/>
              </w:rPr>
              <w:t xml:space="preserve">23.1.</w:t>
            </w:r>
            <w:r w:rsidR="00000000" w:rsidRPr="00000000" w:rsidDel="00000000">
              <w:rPr>
                <w:rtl w:val="0"/>
              </w:rPr>
              <w:t xml:space="preserve"> un </w:t>
            </w:r>
            <w:r w:rsidR="00000000" w:rsidRPr="00000000" w:rsidDel="00000000">
              <w:rPr>
                <w:rtl w:val="0"/>
              </w:rPr>
              <w:t xml:space="preserve">23.2.</w:t>
            </w:r>
            <w:r w:rsidR="00000000" w:rsidRPr="00000000" w:rsidDel="00000000">
              <w:rPr>
                <w:rtl w:val="0"/>
              </w:rPr>
              <w:t xml:space="preserve"> apakšpunktā minētajiem sadarbības partneriem (ja attiecināms), kuri plāno attīstīt ēku vai daļu ēkas ģimenes ārsta prakses, kurām ir uzticēts sniegt pakalpojumus ar vispārēju tautsaimniecisku nozīmi, infrastruktūras attīstībai, komercdarbības atbalsts tiek piešķirts atbilstoši šīs nodaļas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tiek pārkāptas Komisijas 2011. gada 20. decembra lēmumā Nr. 2012/21/ES noteiktās komercdarbības atbalsta piešķiršanas prasības, finansējuma saņēmējam un sadarbības partnerim ir pienākums atmaksāt sadarbības iestādei projekta ietvaros saņemto nelikumīgo komercdarbības atbalstu kopā ar procentiem no līdzekļiem, kas ir brīvi no komercdarbības atbalsta, atbilstoši Komercdarbības atbalsta kontroles likuma IV vai V nodaļai.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 punktā norādīta atsauce uz 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 (turpmāk - Lēmums). Norādām, ka saskaņā ar Līguma par Eiropas Savienības darbību 288. pantu lēmumi, kuros ir norādīti konkrēti adresāti, ir saistoši tikai šiem adresātiem. Ja lēmumu adresāts ir dalībvalstis un ir nepieciešams to normas padarīt saistošas privātpersonām, tad lēmumi ir jāpārņem valsts tiesību sistēmā tāpat kā direktīvas.[1]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2. pants noteic, ka šo lēmumu piemēro valsts atbalstam attiecībā uz kompensāciju par sabiedrisko pakalpojumu sniegšanu, kas piešķirta uzņēmumiem, kuriem uzticēts sniegt pakalpojumus ar vispārēju tautsaimniecisku nozīmi.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13. pants noteic, ka šis lēmums ir adresēts dalībvalstīm. Šajā gadījumā nepieciešams izvērtēt, vai Lēmums satur tādas normas, kas attiecināmas arī uz privātpersonām. Ja Lēmums šādas normas satur, tad lūdzam tās pārņemt noteikumu projektā un attiecīgi precizēt noteikumu projekta 16. punktu, svītrojot atsauci uz Lēmumu. Ja Lēmums nesatur normas, kas jāattiecina uz privātpersonām, un Lēmumu var tieši izpildīt valsts iestādes, tad arī šādā gadījumā noteikumu projekta 16. punktā atsauce uz Lēmumu svītrojama, jo atbilstoši Ministru kabineta 2009. gada 3. februāra noteikumu Nr. 108 "Normatīvo aktu projektu sagatavošanas noteikumi" 170.-172. punktam normatīvā akta tekstā atsauces raksta tikai uz Eiropas Savienības regulām.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Skat. arī Eiropas Savienības tiesību ieviešanas rokasgrāmatas 2.8. apakšnodaļu „Lēmumu ieviešana”, 48. lp., pieejama: https://www.tm.gov.lv/lv/es-tiesibu-ieviesana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16.punkts.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tiek pārkāptas šajos noteikumos noteiktās komercdarbības atbalsta piešķiršanas prasības vispārējas tautsaimnieciskas nozīmes pakalpojuma sniegšanai, finansējuma saņēmējam un sadarbības partnerim ir pienākums atmaksāt sadarbības iestādei projekta ietvaros saņemto nelikumīgo komercdarbības atbalstu kopā ar procentiem no līdzekļiem, kas ir brīvi no komercdarbības atbalsta, atbilstoši Komercdarbības atbalsta kontroles likuma IV vai V nodaļai.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iesniedzējs  un sadarbības partneris (ja attiecināms) nevar pretendēt uz atbalsta saņemšanu, ja tas atbilst grūtībās nonākuša komersanta statusam saskaņā ar Komisijas 2014. gada 17. jūnija Regulas Nr. 651/2014, ar ko noteiktas atbalsta kategorijas atzīst par saderīgām ar iekšējo tirgu, piemērojot Līguma 107. un 108. pantu (turpmāk - Komisijas regula Nr. 651/2014), 2. panta 18. punktu. Grūtībās nonākuša uzņēmuma pazīmes projekta iesniedzējam tiek vērtētas individuāli un tā saistīto personu grupai (ja attiecināms) saskaņā ar Komisijas regulas Nr. 651/2014 I pielikuma 3. panta 3. punktā definēto.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20. punktā nav konsekventi lietots termins “grūtībās nonācis komersants”. Atbilstoši Ministru kabineta 2009. gada 3. februāra noteikumu Nr. 108 "Normatīvo aktu projektu sagatavošanas noteikumi" 2.3. apakšpunktam normatīvā akta projekta tekstam jābūt rakstītam vienotā stilā, izmantojot standartizētas un vienveidīgas vārdiskās izteiksmes. Ņemot vērā minēto, lūdzam precizēt noteikumu projektu, nodrošinot konsekventu termina “grūtībās nonācis komersants” 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un sadarbības partneris (ja attiecināms) nevar pretendēt uz atbalsta saņemšanu, ja tas atbilst grūtībās nonākuša komersanta statusam saskaņā ar Komisijas 2014. gada 17. jūnija Regulas Nr. 651/2014, ar ko noteiktas atbalsta kategorijas atzīst par saderīgām ar iekšējo tirgu, piemērojot Līguma 107. un 108. pantu (turpmāk - Komisijas regula Nr. 651/2014), 2. panta 18. punktu. Grūtībās nonākuša komersanta pazīmes projekta iesniedzējam tiek vērtētas individuāli un tā saistīto personu grupai (ja attiecināms) saskaņā ar Komisijas regulas Nr. 651/2014 I pielikuma 3. panta 3. punktā definēto.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20.punkts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iesniedzējs  un sadarbības partneris (ja attiecināms) nevar pretendēt uz atbalsta saņemšanu, ja tas atbilst grūtībās nonākuša komersanta statusam saskaņā ar Komisijas 2014. gada 17. jūnija Regulas Nr. 651/2014, ar ko noteiktas atbalsta kategorijas atzīst par saderīgām ar iekšējo tirgu, piemērojot Līguma 107. un 108. pantu (turpmāk - Komisijas regula Nr. 651/2014), 2. panta 18. punktu. Grūtībās nonākuša komersanta pazīmes projekta iesniedzējam tiek vērtētas individuāli un tā saistīto personu grupai (ja attiecināms) saskaņā ar Komisijas regulas Nr. 651/2014 I pielikuma 3. panta 3. punktā definēto.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Finansējuma saņēmējs un sadarbības partneris (ja attiecināms) projekta iesniegumam pievieno apliecinājumu, ka attiecībā uz to nepastāv Maksātnespējas likumā noteiktie ierobežojumi tiesiskās aizsardzības procesa lietas ierosināšanai un pasludināšanai.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21. punkta pašreizējā redakcija neaptver visus Maksātnespējas likumā noteiktos gadījumus, kad iespējams konstatēt finansiālās grūtībās nonākuša parādnieka saistību izpildi, proti, situācijas, kad finansējuma saņēmējam ir ierosināta maksātnespējas procesa lieta. Ņemot vērā minēto, Tieslietu ministrija piedāvā šādu šī punkta formulējumu: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un sadarbības partneris (ja attiecināms) projekta iesniegumam pievieno apliecinājumu, ka attiecībā uz tiem nepastāv Maksātnespējas likumā noteiktie ierobežojumi tiesiskās aizsardzības procesa lietas ierosināšanai un pasludināšanai un finansējuma saņēmējam nav ierosināta maksātnespējas procesa lieta.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21. punkts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iesniedzējs un sadarbības partneris (ja attiecināms) projekta iesniegumam pievieno apliecinājumu, ka attiecībā uz tiem nepastāv Maksātnespējas likumā noteiktie ierobežojumi tiesiskās aizsardzības procesa lietas ierosināšanai un pasludināšanai un projekta iesniedzējam nav ierosināta maksātnespējas procesa lieta.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Finansējuma saņēmējs un sadarbības partneri (ja attiecināms), iesaistoties projekta īstenošanā, nodrošina, lai funkcijas, kuras tie pilda projekta īstenošanā, tiktu nodalītas no pamatfunkciju izpildes un saimnieciskās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27. punktu ar nosacījumu, ka finansējuma saņēmējs un sadarbības partneris (ja attiecināms) nodrošinās atsevišķu darījumu ieņēmumu un izdevumu grāmatvedības uzskaiti, kā arī darbību un ar to īstenošanu saistīto finanšu plūsmu nodalīšanu.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noteikumu projekta 27.punkts.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Finansējuma saņēmējs un sadarbības partneri (ja attiecināms), iesaistoties projekta īstenošanā, nodrošina, lai funkcijas, kuras tie pilda projekta īstenošanā, tiktu nodalītas no pamatfunkciju izpildes un saimnieciskās darbības, kā arī nodrošina atsevišķu ieņēmumu un izdevumu grāmatvedības uzskaiti, kā arī darbību un ar to īstenošanu saistīto finanšu plūsmu nodalīšanu.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Pasākuma atbalstāmās darbības un attiecināmās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 Konvencijā par personu ar invaliditāti tiesībām ( turpmāk - Konvencija) ir noteikts, ka "komunikācija" ietver valodu, tekstu, Braila raksta, taustes komunikācijas, liela izmēra rakstu zīmju un piekļūstamu multivides līdzekļu izmantošanu, kā arī pastiprinošus un alternatīvus komunikācijas veidus, līdzekļus un formātus, kam izmanto rakstiskus palīglīdzekļus, audio palīglīdzekļus, vieglo valodu, priekšā lasītāju, tostarp piekļūstamās informācijas un komunikācijas tehnoloģijas.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lai nodrošinātu Konvencijā noteikto un arī izpildītu regulas 2021/1060  9.pantā noteikto piekļūstamības principu personām ar invaliditāti, lūdzam papildināt MKN ar jaunu punktu un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horizontālā principa “Vienlīdzība, iekļaušana, nediskriminācija un pamattiesību ievērošana” darbību īstenošanai, t.sk. indukcijas cilpu nomas, zīmju valodas tulku un vieglās valodas tulkošanas pakalpojumu izmaksas, subtitrēšanas un reāllaika transkripcijas pakalpojumu izmaksas, ja tas ir nepieciešams  informācijas piekļūstamības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papildināts ar punktu pēc LM piedāvātās redakcijas.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Pasākuma atbalstāmās darbības un attiecināmās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Šo noteikumu </w:t>
            </w:r>
            <w:r w:rsidR="00000000" w:rsidRPr="00000000" w:rsidDel="00000000">
              <w:rPr>
                <w:rtl w:val="0"/>
              </w:rPr>
              <w:t xml:space="preserve">32.4.</w:t>
            </w:r>
            <w:r w:rsidR="00000000" w:rsidRPr="00000000" w:rsidDel="00000000">
              <w:rPr>
                <w:rtl w:val="0"/>
              </w:rPr>
              <w:t xml:space="preserve"> apakšpunktā minētās atbalstāmās darbības ietvaros ir attiecināmas komunikācijas un vizuālās identitātes prasību nodrošināšanas izmaksas, lai izpildītu minētās prasības atbilstoši regulas 2021/1060 47. un 50. pantam un normatīvajiem aktiem, kas nosaka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38. punktā norādīta atsauce uz nesaistošiem dokumentiem (vadlīnijām). Ņemot vērā minēto, lūdzam visā noteikumu projektā svītrot atsauces uz nesaistošiem dokumentiem (vadlīnijām) un minēto informāciju lūdzam norādīt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w:t>
            </w:r>
            <w:r w:rsidR="00000000" w:rsidRPr="00000000" w:rsidDel="00000000">
              <w:rPr>
                <w:rtl w:val="0"/>
              </w:rPr>
              <w:t xml:space="preserve">32.4.</w:t>
            </w:r>
            <w:r w:rsidR="00000000" w:rsidRPr="00000000" w:rsidDel="00000000">
              <w:rPr>
                <w:rtl w:val="0"/>
              </w:rPr>
              <w:t xml:space="preserve"> apakšpunktā minētās atbalstāmās darbības ietvaros ir attiecināmas komunikācijas un vizuālās identitātes prasību nodrošināšanas izmaksas, lai izpildītu minētās prasības atbilstoši regulas 2021/1060 47. un 50. pantam un normatīvajiem aktiem, kas nosaka kārtību,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38.punkts.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Šo noteikumu </w:t>
            </w:r>
            <w:r w:rsidR="00000000" w:rsidRPr="00000000" w:rsidDel="00000000">
              <w:rPr>
                <w:rtl w:val="0"/>
              </w:rPr>
              <w:t xml:space="preserve">30.4.</w:t>
            </w:r>
            <w:r w:rsidR="00000000" w:rsidRPr="00000000" w:rsidDel="00000000">
              <w:rPr>
                <w:rtl w:val="0"/>
              </w:rPr>
              <w:t xml:space="preserve"> apakšpunktā minētās atbalstāmās darbības ietvaros ir attiecināmas komunikācijas un vizuālās identitātes prasību nodrošināšanas izmaksas, lai izpildītu minētās prasības atbilstoši regulas 2021/1060 47. un 50. pantam un normatīvajiem aktiem, kas nosaka kārtību, kādā Eiropas Savienības fondu vadībā iesaistītās institūcijas nodrošina šo fondu ieviešanu 2021.–2027. gada plānošanas periodā, kā arī atbilstoši nepieciešamībai, lai nodrošinātu piekļūstamību informācijai, attiecināmas ir horizontālā principa “Vienlīdzība, iekļaušana, nediskriminācija un pamattiesību ievērošana” darbību īstenošanai, t.sk. indukcijas cilpu nomas, zīmju valodas tulku un vieglās valodas tulkošanas pakalpojumu izmaksas, subtitrēšanas un reāllaika transkripcijas pakalpojumu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Ja šo noteikumu 22.2. apakšpunktā minētais finansējuma saņēmējs projekta ietvaros piesaista sadarbības partneri, tad, saskaņā ar šo noteikumu </w:t>
            </w:r>
            <w:r w:rsidR="00000000" w:rsidRPr="00000000" w:rsidDel="00000000">
              <w:rPr>
                <w:rtl w:val="0"/>
              </w:rPr>
              <w:t xml:space="preserve">32.</w:t>
            </w:r>
            <w:r w:rsidR="00000000" w:rsidRPr="00000000" w:rsidDel="00000000">
              <w:rPr>
                <w:rtl w:val="0"/>
              </w:rPr>
              <w:t xml:space="preserve"> punktu, šo noteikumu </w:t>
            </w:r>
            <w:r w:rsidR="00000000" w:rsidRPr="00000000" w:rsidDel="00000000">
              <w:rPr>
                <w:rtl w:val="0"/>
              </w:rPr>
              <w:t xml:space="preserve">22.2.</w:t>
            </w:r>
            <w:r w:rsidR="00000000" w:rsidRPr="00000000" w:rsidDel="00000000">
              <w:rPr>
                <w:rtl w:val="0"/>
              </w:rPr>
              <w:t xml:space="preserve"> apakšpunktā minētais finansējuma saņēmējs un sadarbības partneris (ja attiecināms) un šo noteikumu </w:t>
            </w:r>
            <w:r w:rsidR="00000000" w:rsidRPr="00000000" w:rsidDel="00000000">
              <w:rPr>
                <w:rtl w:val="0"/>
              </w:rPr>
              <w:t xml:space="preserve">24.</w:t>
            </w:r>
            <w:r w:rsidR="00000000" w:rsidRPr="00000000" w:rsidDel="00000000">
              <w:rPr>
                <w:rtl w:val="0"/>
              </w:rPr>
              <w:t xml:space="preserve"> punktā minētie sadarbības partneri aprēķina infrastruktūras, kurā sniedz primārās un sekundārās veselības aprūpes pakalpojumus izmantošanas proporciju un piemēro to projekta kopējam finansējumam, nosakot publiskā un privātā finansējuma apmēru, atbilstoši šādam aprēķinam: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43.punktā norādīto kārtību attīstāmās infrastruktūras izmantošanas proporcijas aprēķinam, jo no šī brīža redakcijas nav saprotams, kam (finansējuma saņēmējam vai sadarbības partnerim) infrastruktūras izmantošanas aprēķins tiek piemērots. Ja ir iespējami vairāki gadījumi, lūdzam tos norādīt.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prjekta 43.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Šo noteikumu </w:t>
            </w:r>
            <w:r w:rsidR="00000000" w:rsidRPr="00000000" w:rsidDel="00000000">
              <w:rPr>
                <w:rtl w:val="0"/>
              </w:rPr>
              <w:t xml:space="preserve">22.2. </w:t>
            </w:r>
            <w:r w:rsidR="00000000" w:rsidRPr="00000000" w:rsidDel="00000000">
              <w:rPr>
                <w:rtl w:val="0"/>
              </w:rPr>
              <w:t xml:space="preserve">apakšpunktā minētais finansējuma saņēmējs, šo noteikumu </w:t>
            </w:r>
            <w:r w:rsidR="00000000" w:rsidRPr="00000000" w:rsidDel="00000000">
              <w:rPr>
                <w:rtl w:val="0"/>
              </w:rPr>
              <w:t xml:space="preserve">23.2. </w:t>
            </w:r>
            <w:r w:rsidR="00000000" w:rsidRPr="00000000" w:rsidDel="00000000">
              <w:rPr>
                <w:rtl w:val="0"/>
              </w:rPr>
              <w:t xml:space="preserve">apakšpunktā minētais sadarbības partneris (ja attiecināms) un šo noteikumu </w:t>
            </w:r>
            <w:r w:rsidR="00000000" w:rsidRPr="00000000" w:rsidDel="00000000">
              <w:rPr>
                <w:rtl w:val="0"/>
              </w:rPr>
              <w:t xml:space="preserve">23.1. </w:t>
            </w:r>
            <w:r w:rsidR="00000000" w:rsidRPr="00000000" w:rsidDel="00000000">
              <w:rPr>
                <w:rtl w:val="0"/>
              </w:rPr>
              <w:t xml:space="preserve">apakšpunktā minētie sadarbības partneri, saskaņā ar šo noteikumu </w:t>
            </w:r>
            <w:r w:rsidR="00000000" w:rsidRPr="00000000" w:rsidDel="00000000">
              <w:rPr>
                <w:rtl w:val="0"/>
              </w:rPr>
              <w:t xml:space="preserve">13. </w:t>
            </w:r>
            <w:r w:rsidR="00000000" w:rsidRPr="00000000" w:rsidDel="00000000">
              <w:rPr>
                <w:rtl w:val="0"/>
              </w:rPr>
              <w:t xml:space="preserve">punktu, aprēķina infrastruktūras, kurā sniedz primārās veselības aprūpes pakalpojumus izmantošanas proporciju un piemēro to projekta daļas finansējumam, kas attiecas uz vispārējas tautsaimnieciskas nozīmes pakalpojumu mērķi, nosakot publiskā un privātā finansējuma apmēru, atbilstoši šādam aprēķinam: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Ja šo noteikumu 22.2. apakšpunktā minētais finansējuma saņēmējs projekta ietvaros piesaista sadarbības partneri, tad, saskaņā ar šo noteikumu </w:t>
            </w:r>
            <w:r w:rsidR="00000000" w:rsidRPr="00000000" w:rsidDel="00000000">
              <w:rPr>
                <w:rtl w:val="0"/>
              </w:rPr>
              <w:t xml:space="preserve">32.</w:t>
            </w:r>
            <w:r w:rsidR="00000000" w:rsidRPr="00000000" w:rsidDel="00000000">
              <w:rPr>
                <w:rtl w:val="0"/>
              </w:rPr>
              <w:t xml:space="preserve"> punktu, šo noteikumu </w:t>
            </w:r>
            <w:r w:rsidR="00000000" w:rsidRPr="00000000" w:rsidDel="00000000">
              <w:rPr>
                <w:rtl w:val="0"/>
              </w:rPr>
              <w:t xml:space="preserve">22.2.</w:t>
            </w:r>
            <w:r w:rsidR="00000000" w:rsidRPr="00000000" w:rsidDel="00000000">
              <w:rPr>
                <w:rtl w:val="0"/>
              </w:rPr>
              <w:t xml:space="preserve"> apakšpunktā minētais finansējuma saņēmējs un sadarbības partneris (ja attiecināms) un šo noteikumu </w:t>
            </w:r>
            <w:r w:rsidR="00000000" w:rsidRPr="00000000" w:rsidDel="00000000">
              <w:rPr>
                <w:rtl w:val="0"/>
              </w:rPr>
              <w:t xml:space="preserve">24.</w:t>
            </w:r>
            <w:r w:rsidR="00000000" w:rsidRPr="00000000" w:rsidDel="00000000">
              <w:rPr>
                <w:rtl w:val="0"/>
              </w:rPr>
              <w:t xml:space="preserve"> punktā minētie sadarbības partneri aprēķina infrastruktūras, kurā sniedz primārās un sekundārās veselības aprūpes pakalpojumus izmantošanas proporciju un piemēro to projekta kopējam finansējumam, nosakot publiskā un privātā finansējuma apmēru, atbilstoši šādam aprēķinam: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44. un 45. punktā minēto, lūdzam izvērtēt, vai noteikumu projekta 43. punktā minētais nosacījums attiecībā uz pienākumu aprēķināt infrastruktūras, kurā sniedz primārās un sekundārās veselības aprūpes pakalpojumus izmantošanas proporciju, attiecas uz noteikumu projekta 22.2. apakšpunktā minēto finansējuma saņēmēju tikai tādā gadījumā, ja tas projekta ietvaros piesaista sadarbības partneri. Piemērojot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 (izziņots ar dokumenta numuru C(2011) 9380) (turpmāk - VTNP lēmums), šo regulējumu var attiecināt tikai uz valsts apmaksātajiem veselības aprūpes pakalpojumiem, līdz ar to jānodrošina, ka proporcija infrastruktūrai, kurā sniedz valsts apmaksātos veselības aprūpes pakalpojumus, finansējuma saņēmējam ir jāaprēķina jebkurā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arī attiecībā uz noteikumu projektā 22.1. apakšpunktā minēto finansējuma saņēmēju, kuram obligāti ir jāpiesaista sadarbības partneri, kuriem atbalsts tiek nodrošināts, piemērojot VTNP lēmumu, jānodrošina, ka tiek aprēķināta proporcija un VTNP lēmumu attiecina tikai uz to infrastruktūras daļu, kuru sadarbības partneris izmanto valsts apmaksāto veselības aprūpes pakalpojumu nodrošināšanai.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24.punkts un skaidrojam, ka šo noteikumu ietvarā atbalsts tiek sniegts primārās veselības aprūpes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Šo noteikumu </w:t>
            </w:r>
            <w:r w:rsidR="00000000" w:rsidRPr="00000000" w:rsidDel="00000000">
              <w:rPr>
                <w:rtl w:val="0"/>
              </w:rPr>
              <w:t xml:space="preserve">22.2. </w:t>
            </w:r>
            <w:r w:rsidR="00000000" w:rsidRPr="00000000" w:rsidDel="00000000">
              <w:rPr>
                <w:rtl w:val="0"/>
              </w:rPr>
              <w:t xml:space="preserve">apakšpunktā minētais finansējuma saņēmējs, šo noteikumu </w:t>
            </w:r>
            <w:r w:rsidR="00000000" w:rsidRPr="00000000" w:rsidDel="00000000">
              <w:rPr>
                <w:rtl w:val="0"/>
              </w:rPr>
              <w:t xml:space="preserve">23.2. </w:t>
            </w:r>
            <w:r w:rsidR="00000000" w:rsidRPr="00000000" w:rsidDel="00000000">
              <w:rPr>
                <w:rtl w:val="0"/>
              </w:rPr>
              <w:t xml:space="preserve">apakšpunktā minētais sadarbības partneris (ja attiecināms) un šo noteikumu </w:t>
            </w:r>
            <w:r w:rsidR="00000000" w:rsidRPr="00000000" w:rsidDel="00000000">
              <w:rPr>
                <w:rtl w:val="0"/>
              </w:rPr>
              <w:t xml:space="preserve">23.1. </w:t>
            </w:r>
            <w:r w:rsidR="00000000" w:rsidRPr="00000000" w:rsidDel="00000000">
              <w:rPr>
                <w:rtl w:val="0"/>
              </w:rPr>
              <w:t xml:space="preserve">apakšpunktā minētie sadarbības partneri, saskaņā ar šo noteikumu </w:t>
            </w:r>
            <w:r w:rsidR="00000000" w:rsidRPr="00000000" w:rsidDel="00000000">
              <w:rPr>
                <w:rtl w:val="0"/>
              </w:rPr>
              <w:t xml:space="preserve">13. </w:t>
            </w:r>
            <w:r w:rsidR="00000000" w:rsidRPr="00000000" w:rsidDel="00000000">
              <w:rPr>
                <w:rtl w:val="0"/>
              </w:rPr>
              <w:t xml:space="preserve">punktu, aprēķina infrastruktūras, kurā sniedz primārās veselības aprūpes pakalpojumus izmantošanas proporciju un piemēro to projekta daļas finansējumam, kas attiecas uz vispārējas tautsaimnieciskas nozīmes pakalpojumu mērķi, nosakot publiskā un privātā finansējuma apmēru, atbilstoši šādam aprēķinam: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48.1. nodrošina šo noteikumu </w:t>
            </w:r>
            <w:r w:rsidR="00000000" w:rsidRPr="00000000" w:rsidDel="00000000">
              <w:rPr>
                <w:rtl w:val="0"/>
              </w:rPr>
              <w:t xml:space="preserve">32.4.</w:t>
            </w:r>
            <w:r w:rsidR="00000000" w:rsidRPr="00000000" w:rsidDel="00000000">
              <w:rPr>
                <w:rtl w:val="0"/>
              </w:rPr>
              <w:t xml:space="preserve"> apakšpunktā minētos komunikācijas un vizuālās identitātes prasību nodrošināšanas pasākumus saskaņā ar regulas Nr. 2021/1060 47. pantu un 50. pantu un normatīvajiem aktiem par kārtību, kādā Eiropas Savienības struktūrfondu un Kohēzijas fonda ieviešanā 2021. – 2027. gada plānošanas periodā nodrošināma komunikācijas un vizuālās identitātes prasību ievērošana, kā arī ievēro Eiropas Savienības fondu 2021.–2027. gada plānošanas perioda un Atveseļošanas fonda komunikācijas un dizaina vadlīnijas;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48.1. apakšpunktu, ņemot vērā Tieslietu ministrijas iebildumu par noteikumu projekta 38. punktu, lai nodrošinātu tā atbilstību normatīvo aktu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šo noteikumu </w:t>
            </w:r>
            <w:r w:rsidR="00000000" w:rsidRPr="00000000" w:rsidDel="00000000">
              <w:rPr>
                <w:rtl w:val="0"/>
              </w:rPr>
              <w:t xml:space="preserve">32.4.</w:t>
            </w:r>
            <w:r w:rsidR="00000000" w:rsidRPr="00000000" w:rsidDel="00000000">
              <w:rPr>
                <w:rtl w:val="0"/>
              </w:rPr>
              <w:t xml:space="preserve"> apakšpunktā minētos komunikācijas un vizuālās identitātes prasību nodrošināšanas pasākumus saskaņā ar regulas Nr. 2021/1060 47. pantu un 50. pantu un normatīvajiem aktiem par kārtību, kādā Eiropas Savienības struktūrfondu un Kohēzijas fonda ieviešanā 2021. – 2027. gada plānošanas periodā nodrošināma komunikācijas un vizuālās identitātes prasību ievērošana;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48.1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nodrošina šo noteikumu </w:t>
            </w:r>
            <w:r w:rsidR="00000000" w:rsidRPr="00000000" w:rsidDel="00000000">
              <w:rPr>
                <w:rtl w:val="0"/>
              </w:rPr>
              <w:t xml:space="preserve">30.4.</w:t>
            </w:r>
            <w:r w:rsidR="00000000" w:rsidRPr="00000000" w:rsidDel="00000000">
              <w:rPr>
                <w:rtl w:val="0"/>
              </w:rPr>
              <w:t xml:space="preserve"> apakšpunktā minētos komunikācijas un vizuālās identitātes prasību nodrošināšanas pasākumus saskaņā ar regulas Nr. 2021/1060 47. pantu un 50. pantu un normatīvajiem aktiem par kārtību, kādā Eiropas Savienības struktūrfondu un Kohēzijas fonda ieviešanā 2021. – 2027. gada plānošanas periodā nodrošināma komunikācijas un vizuālās identitātes prasību ievērošana;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Veselības ministrija ir veikusi padziļinātāku priekšatlasi potenciālajiem projektu iesniedzējiem kopprakses izmēģinājuma projekta īstenošanā, aptaujājot novadu pašvaldības ar mērķi noskaidrot, vai novadu pašvaldības, kurās ir nepietiekams ģimenes ārstu sniegto pakalpojumu nodrošinājums un liels pensijas vecuma ģimenes ārstu īpatsvars, ir ieinteresētas 4.1.1.3.pasākuma 1.kārtas ietvaros plānotā kopprakses izmēģinājuma projekta īstenošanā. Ņemot vērā ierobežoto finansējuma apmēru, aptaujā netika iesaistītas valstspilsētu pašvaldības, jo tajās plašāk ir pieejami sekundārās ambulatorās veselības aprūpes pakalpojumi iedzīvotājiem, bet tika aptaujātas tikai tās novadu pašvaldības, kurās nepieciešamais jauno ģimenes ārstu skaits ir 6 un vairāk, lai vidējais reģistrēto pacientu skaits uz ģimenes ārstu pēc 2028. gada būtu ap 1500 pacientiem. Atbilstoši Nacionālā veselības dienesta sniegtajai informācijai, kopumā šādas ir 6 pašvaldības: Tukuma, Valmieras, Ogres, Ropažu, Aizkraukles un Cēsu novads. Minētajām pašvaldībām, izņemot Cēsu novada pašvaldībai, tika nosūtīta aptaujas vēstule un noteiktajā termiņā no pašvaldībām netika saņemta informācija, ka tās būtu ieinteresētas izmēģinājuma projekta kopprakses ieviešanas īstenošanai savas pašvaldības teritorijā. Papildus Veselības ministrija ir veikusi telefonisku pašvaldību aptauju un tās ir apliecinājušas, ka nav ieinteresētas šāda projekta ieviešanā, kā arī sniedza sekojošu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attiecībā uz Valmieras novada pašvaldību izslēgt apgalvojumu: Atbilstoši Nacionālā veselības dienesta sniegtajai informācijai, kopumā šādas ir 6 pašvaldības: Tukuma, Valmieras, Ogres, Ropažu, Aizkraukles un Cēsu novads. Minētajām pašvaldībām, izņemot Cēsu novada pašvaldībai, tika nosūtīta aptaujas vēstule </w:t>
            </w:r>
            <w:r w:rsidR="00000000" w:rsidRPr="00000000" w:rsidDel="00000000">
              <w:rPr>
                <w:b w:val="1"/>
                <w:rtl w:val="0"/>
              </w:rPr>
              <w:t xml:space="preserve">un noteiktajā termiņā no pašvaldībām netika saņemta informācija, ka tās būtu ieinteresētas izmēģinājuma projekta kopprakses ieviešanas īstenošanai savas pašvaldības teritorijā.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informāciju par Valmieras novada pašvaldības iespējām pieteikties 1.kārtas pilotprojektam.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Valmieras novada pašvaldību veido Valmieras valstspilsēta, Beverīnas novads, Burtnieku novads, Kocēnu novads, Mazsalacas novads ar Mazsalacas pilsētu, Naukšēnu novads, Rūjienas novads ar Rūjienas pilsētu un Strenču novads ar Strenču pilsētu, Sedas pilsētu. Atbilstoši specifiskā  finansējuma nosacījumiem Valmieras valstspilsēta neklasificējas pilotprojekta vietas īstenošanai, savukārt Rūjienas pilsēta, kurā būtu aktuāli īstenot primārās veselības aprūpes stiprināšanu kopprakšu modeli, neklasificējas attiecībā uz “6 un vairāk kritērijam”, jo tajā darbojas 4 ģimenes ārstu prakses, kas ir pietiekošs skaits uz noteiktu teritoriju, iedzīvotāju skaita blīvumu un pakalpojumu pieprasījumu. Savukārt, pārējās mazākās administratīvās teritoriālās vienības novada pašvaldībā, kurām arī būtu nepieciešamība pēc pakalpojuma, objektīvi nevar sasniegt kritēriju “nepieciešamais jauno ģimenes ārstu skaits ir 6 un vairāk”.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tiek papildināta labākai saprotamībai. Atbilstoši izvirzītajiem kritērijiem, tika veikta pašvaldību, tai skaitā, Valmieras novada pašvaldības aptauja, kas ir aprakstīta anotācijā. Anotācija papildināta ar sekojošu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Valmieras novada pašvaldība ir ieinteresēta kopprakšu veidošanā. Valmieras novada pašvaldība saredz, ka jaunajiem ģimenes ārstiem, kuru vidū ir arī bijušie Vidzemes slimnīcas rezidenti, ir interese par prakses izveides iespējām Valmieras valstspilsētā, bet Valmieras valstspilsēta neklasificējas pilotprojekta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Rūjienas pilsētā darbojas 4 ģimenes ārstu prakses, kas ir pietiekošs skaits uz noteiktu teritoriju, iedzīvotāju skaita blīvumu un pakalpojumu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29. un 30. punkts paredz informācijas sniegšanas pienākumu, līdz ar ko, lūdzu veikt administratīvo izmaksu monetāru novērtējumu un aizpildīt anotācijas 2. sadaļas 2.3. apakšpunktu, ja informācijas sniegšnas prasība attiecās uz juriidisku vai fizisku personu un anotācijas 7. sadaļas 7.2. apakšpunktu, ja informācijas sniegšanas prasība attiecās uz valsts vai pašvaldību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izmaksu novērtējums veicams saskaņā ar Ministru kabineta 2021. gada 7. septembra noteikumu Nr. 617 “Tiesību akta projekta sākotnējās ietekmes izvērtēšanas kārtība” 15. un 16.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monetārā novērtējuma veikšanā pieejama Vadlīnijās tiesību akta sākotnējās ietekmes novērtēšanai un novērtējuma ziņojuma sagatavošanai vienotajā TAP portālā (pieejamas Ministru kabineta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Administratīvā sloga mazināšana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anotācijas 7.2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projekta anotācijas 6.sadaļā norādīto informāciju, pirmkārt, Valsts kanceleja vērš uzmanību, ka Ministru kabineta 2009.gada 25.augusta noteikumi Nr.970 "Sabiedrības līdzdalības kārtība attīstības plānošanas procesā" 2024.gada 17.oktobrī zaudēja spēku, ņemot vērā, ka ar šo brīdi spēkā stājās jaunais regulējums sabiedrības iesaistei - Ministru kabineta 2024.gada 15.oktobra noteikumi Nr. 639 "Sabiedrības līdzdalības kārtība attīstības plānošanas procesā". Lūgums noteikumu projekta anotācijā atsaukties uz spēkā esošo regulējumu. Otrkārt, atbilstoši esošajai praksei, kas nostiprināta jaunajā regulējumā, ja sabiedrības pārstāvji netiek iesaistīti tiesību akta projekta izstrādē, tad par iemesliem, kādēļ sabiedrības pārstāvji netika iesaistīti, jāsniedz skaidrojums tiesību akta projekta anotācijā - TAP portālā iestrādātajā anotācijas formā 6.sadaļā uz apgalvojumu "Sabiedrības līdzdalība uz šo tiesību akta projektu neattiecas" izvēloties "Jā" būs pieejams lauks "Skaidrojums", kurā attiecīgi lūdzam norādīt šobrīd 6.4. apakšpunktā minēto informāciju. Vēršam uzmanību, ka atbilsoši Valsts kancelejas ieteikumam precizējot 6.sadaļu, informācijas sniegšanai nebūs pieejami 6.1.-6.3.apakšpunkti, piemēram, 6.1. apakšpunktā norādīto nevalstisko organizāciju uzskaitījumu saglabāt anotācijā, ja organizācijas netika iesaistītas vai neatsaucās uz aicinājumu sniegt viedokli, nebūtu korekti. Vienlaikus, ņemot vērā, ka 6.4.apakšpunktā minēts, ka "Priekšlikumu un viedokļu sniegšanai tiesību akta projekts </w:t>
            </w:r>
            <w:r w:rsidR="00000000" w:rsidRPr="00000000" w:rsidDel="00000000">
              <w:rPr>
                <w:u w:val="single"/>
                <w:rtl w:val="0"/>
              </w:rPr>
              <w:t xml:space="preserve">tiks</w:t>
            </w:r>
            <w:r w:rsidR="00000000" w:rsidRPr="00000000" w:rsidDel="00000000">
              <w:rPr>
                <w:b w:val="1"/>
                <w:rtl w:val="0"/>
              </w:rPr>
              <w:t xml:space="preserve"> </w:t>
            </w:r>
            <w:r w:rsidR="00000000" w:rsidRPr="00000000" w:rsidDel="00000000">
              <w:rPr>
                <w:rtl w:val="0"/>
              </w:rPr>
              <w:t xml:space="preserve">nodots nevalstiskajām organizācijām, t.sk. Latvijas Pašvaldību savienībai, Latvijas Lielo pilsētu asociācijai, Latvijas slimnīcu biedrībai un Veselības aprūpes darba devēju asociācijai", lūdzam gadījumā, ja pēc noteikumu projekta saskaņošanas uzsākšanas tika veikta minētā darbība un arī saņemta atgriezeniskā saite, aizpildīt anotācijas 6.sadaļu pēc būtības.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anotācijas 6.2. un 6.3.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w:t>
            </w:r>
            <w:r w:rsidR="00000000" w:rsidRPr="00000000" w:rsidDel="00000000">
              <w:rPr>
                <w:rtl w:val="0"/>
              </w:rPr>
              <w:t xml:space="preserve">22.2.</w:t>
            </w:r>
            <w:r w:rsidR="00000000" w:rsidRPr="00000000" w:rsidDel="00000000">
              <w:rPr>
                <w:rtl w:val="0"/>
              </w:rPr>
              <w:t xml:space="preserve"> apakšpunktā minētajam projekta iesniedzējam un šo noteikumu </w:t>
            </w:r>
            <w:r w:rsidR="00000000" w:rsidRPr="00000000" w:rsidDel="00000000">
              <w:rPr>
                <w:rtl w:val="0"/>
              </w:rPr>
              <w:t xml:space="preserve">24.1.</w:t>
            </w:r>
            <w:r w:rsidR="00000000" w:rsidRPr="00000000" w:rsidDel="00000000">
              <w:rPr>
                <w:rtl w:val="0"/>
              </w:rPr>
              <w:t xml:space="preserve"> ​​​un </w:t>
            </w:r>
            <w:r w:rsidR="00000000" w:rsidRPr="00000000" w:rsidDel="00000000">
              <w:rPr>
                <w:rtl w:val="0"/>
              </w:rPr>
              <w:t xml:space="preserve">24.2.</w:t>
            </w:r>
            <w:r w:rsidR="00000000" w:rsidRPr="00000000" w:rsidDel="00000000">
              <w:rPr>
                <w:rtl w:val="0"/>
              </w:rPr>
              <w:t xml:space="preserve"> apakšpunktā minētajiem sadarbības partneriem (ja attiecināms), kuri plāno attīstīt ģimenes ārsta prakses, kurām ir uzticēts sniegt pakalpojumus ar vispārēju tautsaimniecisku nozīmi, komercdarbības atbalsts tiek piešķirts atbilstoši šīs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13. punktā vārdus "projekta iesniedzējam" ar vārdiem "finansējuma saņēmējam", ņemot vērā, ka komercdarbības atbalsts tiek piešķirts tieši finansējuma saņēmējam, nevis projekta iesniedzējam, proti, kad projekta iesniegums jau ir ticis apstiprināts.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noteikumu projekta 13. punktā ietvertās atsauces uz 24.1. un 24.2. apakšpunktu, ņemot vērā, ka minētajos apakšpunktos nav uzskaitīti sadarbības partneri. Aicinām aizstāt ar atsaucēm uz, piemēram, 23.1. un 23.2.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22.2. apakšpunktā minētajam </w:t>
            </w:r>
            <w:r w:rsidR="00000000" w:rsidRPr="00000000" w:rsidDel="00000000">
              <w:rPr>
                <w:u w:val="single"/>
                <w:rtl w:val="0"/>
              </w:rPr>
              <w:t xml:space="preserve">finansējuma saņēmējam</w:t>
            </w:r>
            <w:r w:rsidR="00000000" w:rsidRPr="00000000" w:rsidDel="00000000">
              <w:rPr>
                <w:rtl w:val="0"/>
              </w:rPr>
              <w:t xml:space="preserve"> un šo noteikumu </w:t>
            </w:r>
            <w:r w:rsidR="00000000" w:rsidRPr="00000000" w:rsidDel="00000000">
              <w:rPr>
                <w:u w:val="single"/>
                <w:rtl w:val="0"/>
              </w:rPr>
              <w:t xml:space="preserve">23.1. ​​​un 23.2.</w:t>
            </w:r>
            <w:r w:rsidR="00000000" w:rsidRPr="00000000" w:rsidDel="00000000">
              <w:rPr>
                <w:rtl w:val="0"/>
              </w:rPr>
              <w:t xml:space="preserve"> apakšpunktā minētajiem sadarbības partneriem (ja attiecināms), kuri plāno attīstīt ģimenes ārsta prakses, kurām ir uzticēts sniegt pakalpojumus ar vispārēju tautsaimniecisku nozīmi, komercdarbības atbalsts tiek piešķirts atbilstoši šīs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w:t>
            </w:r>
            <w:r w:rsidR="00000000" w:rsidRPr="00000000" w:rsidDel="00000000">
              <w:rPr>
                <w:rtl w:val="0"/>
              </w:rPr>
              <w:t xml:space="preserve">22.2.</w:t>
            </w:r>
            <w:r w:rsidR="00000000" w:rsidRPr="00000000" w:rsidDel="00000000">
              <w:rPr>
                <w:rtl w:val="0"/>
              </w:rPr>
              <w:t xml:space="preserve"> apakšpunktā minētajam finansējuma saņēmējam un šo noteikumu </w:t>
            </w:r>
            <w:r w:rsidR="00000000" w:rsidRPr="00000000" w:rsidDel="00000000">
              <w:rPr>
                <w:rtl w:val="0"/>
              </w:rPr>
              <w:t xml:space="preserve">23.1.</w:t>
            </w:r>
            <w:r w:rsidR="00000000" w:rsidRPr="00000000" w:rsidDel="00000000">
              <w:rPr>
                <w:rtl w:val="0"/>
              </w:rPr>
              <w:t xml:space="preserve"> un </w:t>
            </w:r>
            <w:r w:rsidR="00000000" w:rsidRPr="00000000" w:rsidDel="00000000">
              <w:rPr>
                <w:rtl w:val="0"/>
              </w:rPr>
              <w:t xml:space="preserve">23.2.</w:t>
            </w:r>
            <w:r w:rsidR="00000000" w:rsidRPr="00000000" w:rsidDel="00000000">
              <w:rPr>
                <w:rtl w:val="0"/>
              </w:rPr>
              <w:t xml:space="preserve"> apakšpunktā minētajiem sadarbības partneriem (ja attiecināms), kuri plāno attīstīt ēku vai daļu ēkas ģimenes ārsta prakses, kurām ir uzticēts sniegt pakalpojumus ar vispārēju tautsaimniecisku nozīmi, infrastruktūras attīstībai, komercdarbības atbalsts tiek piešķirts atbilstoši šīs nodaļas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Finansējuma saņēmējs un sadarbības partneris projektam pievieno vispārējas tautsaimnieciskas nozīmes pakalpojuma sniegšanas pilnvarojuma uzlicēja apliecinājumu, ka tas kontrolēs un pārskatīs šo noteikumu </w:t>
            </w:r>
            <w:r w:rsidR="00000000" w:rsidRPr="00000000" w:rsidDel="00000000">
              <w:rPr>
                <w:rtl w:val="0"/>
              </w:rPr>
              <w:t xml:space="preserve">14.6.</w:t>
            </w:r>
            <w:r w:rsidR="00000000" w:rsidRPr="00000000" w:rsidDel="00000000">
              <w:rPr>
                <w:rtl w:val="0"/>
              </w:rPr>
              <w:t xml:space="preserve"> apakšpunktā minētos deleģēšanas līgumā paredzētos atlīdzības (kompensācijas) maksājumus, kā arī novērsīs un atgūs deleģēšanas līgumā paredzēto atlīdzības (kompensācijas) maksājumu pārmaksu regulāri, bet ne retāk kā reizi trijos gados un pilnvarojuma akta darbības perioda beigās.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noteikumu projekta 15. punkta redakciju, t.i., noteikumu projekta 22.1. apakšpunktā noteiktajam projekta iesniedzējam (Rīgas Stradiņa universitāte) nav noslēgts līgums ar Nacionālo veselības dienestu par primārās veselības aprūpes pakalpojumu sniegšanu, attiecīgi projekta iesniedzējs nevar pievienot vispārējas tautsaimnieciskas nozīmes pakalpojuma sniegšanas pilnvarojuma uzlicēja apliecinājumu.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w:t>
            </w:r>
            <w:r w:rsidR="00000000" w:rsidRPr="00000000" w:rsidDel="00000000">
              <w:rPr>
                <w:rtl w:val="0"/>
              </w:rPr>
              <w:t xml:space="preserve">22.2. </w:t>
            </w:r>
            <w:r w:rsidR="00000000" w:rsidRPr="00000000" w:rsidDel="00000000">
              <w:rPr>
                <w:rtl w:val="0"/>
              </w:rPr>
              <w:t xml:space="preserve">apakšpunktā minētais projekta iesniedzējs, </w:t>
            </w:r>
            <w:r w:rsidR="00000000" w:rsidRPr="00000000" w:rsidDel="00000000">
              <w:rPr>
                <w:rtl w:val="0"/>
              </w:rPr>
              <w:t xml:space="preserve">23.2. </w:t>
            </w:r>
            <w:r w:rsidR="00000000" w:rsidRPr="00000000" w:rsidDel="00000000">
              <w:rPr>
                <w:rtl w:val="0"/>
              </w:rPr>
              <w:t xml:space="preserve">apakšpunktā minētais sadarbības partneris (ja attiecināms) un </w:t>
            </w:r>
            <w:r w:rsidR="00000000" w:rsidRPr="00000000" w:rsidDel="00000000">
              <w:rPr>
                <w:rtl w:val="0"/>
              </w:rPr>
              <w:t xml:space="preserve">23.1. </w:t>
            </w:r>
            <w:r w:rsidR="00000000" w:rsidRPr="00000000" w:rsidDel="00000000">
              <w:rPr>
                <w:rtl w:val="0"/>
              </w:rPr>
              <w:t xml:space="preserve">apakšpunktā minētais sadarbības partneris projektam pievieno vispārējas tautsaimnieciskas nozīmes pakalpojuma sniegšanas pilnvarojuma uzlicēja apliecinājumu, ka tas kontrolēs un pārskatīs šo noteikumu </w:t>
            </w:r>
            <w:r w:rsidR="00000000" w:rsidRPr="00000000" w:rsidDel="00000000">
              <w:rPr>
                <w:rtl w:val="0"/>
              </w:rPr>
              <w:t xml:space="preserve">14.6.</w:t>
            </w:r>
            <w:r w:rsidR="00000000" w:rsidRPr="00000000" w:rsidDel="00000000">
              <w:rPr>
                <w:rtl w:val="0"/>
              </w:rPr>
              <w:t xml:space="preserve"> apakšpunktā minētos deleģēšanas līgumā paredzētos atlīdzības (kompensācijas) maksājumus, kā arī novērsīs un atgūs deleģēšanas līgumā paredzēto atlīdzības (kompensācijas) maksājumu pārmaksu regulāri, bet ne retāk kā reizi trijos gados un pilnvarojuma akta darbības perioda beigās.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tiek pārkāptas šajos noteikumos noteiktās komercdarbības atbalsta piešķiršanas prasības, finansējuma saņēmējam un sadarbības partnerim ir pienākums atmaksāt sadarbības iestādei projekta ietvaros saņemto nelikumīgo komercdarbības atbalstu kopā ar procentiem no līdzekļiem, kas ir brīvi no komercdarbības atbalsta, atbilstoši Komercdarbības atbalsta kontroles likuma IV vai V nodaļai.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ietvaros atbalsts tiek sniegts saskaņā ar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 lūdzam precizēt nelikumīgā komercdarbības atbalsta atgūšanas normu. Lūdzam piedāvātās redakcijas piemēru skatīt zemāk.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pārkāptas šajos noteikumos noteiktās komercdarbības atbalsta piešķiršanas prasības vispārējas tautsaimnieciskas nozīmes pakalpojuma sniegšanai, finansējuma saņēmējam un sadarbības partnerim ir pienākums atmaksāt sadarbības iestādei projekta ietvaros saņemto nelikumīgo komercdarbības atbalstu kopā ar procentiem no līdzekļiem, kas ir brīvi no komercdarbības atbalsta, atbilstoši Komercdarbības atbalsta kontroles likuma IV vai V nodaļai.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tiek pārkāptas šajos noteikumos noteiktās komercdarbības atbalsta piešķiršanas prasības vispārējas tautsaimnieciskas nozīmes pakalpojuma sniegšanai, finansējuma saņēmējam un sadarbības partnerim ir pienākums atmaksāt sadarbības iestādei projekta ietvaros saņemto nelikumīgo komercdarbības atbalstu kopā ar procentiem no līdzekļiem, kas ir brīvi no komercdarbības atbalsta, atbilstoši Komercdarbības atbalsta kontroles likuma IV vai V nodaļai.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iesniedzējs un sadarbības partneris (ja attiecināms) projekta iesniegumam pievieno apliecinājumu, ka attiecībā uz tiem nepastāv Maksātnespējas likumā noteiktie ierobežojumi tiesiskās aizsardzības procesa lietas ierosināšanai un pasludināšanai un finansējuma saņēmējam nav ierosināta maksātnespējas procesa lieta.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gadījumā, ja projekta iesniegumam tiek pievienots noteikumu projekta 21. punktā minētais apliecinājums, tad šis pienākums ir attiecināms uz projekta iesniedzēju, nevis finansējuma saņēmēju, jo atbilstoši Eiropas Savienības fondu 2021.—2027. gada plānošanas perioda vadības likuma 1. panta 3. punktam finansējuma saņēmējs ir persona, kuras projekta iesniegums ir apstiprināts minētajā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aizstāt noteikumu projekta 21. punktā veiktajā papildinājumā vārdus "finansējuma saņēmējam" ar vārdiem "projekta iesniedzējam".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iesniedzējs un sadarbības partneris (ja attiecināms) projekta iesniegumam pievieno apliecinājumu, ka attiecībā uz tiem nepastāv Maksātnespējas likumā noteiktie ierobežojumi tiesiskās aizsardzības procesa lietas ierosināšanai un pasludināšanai un </w:t>
            </w:r>
            <w:r w:rsidR="00000000" w:rsidRPr="00000000" w:rsidDel="00000000">
              <w:rPr>
                <w:u w:val="single"/>
                <w:rtl w:val="0"/>
              </w:rPr>
              <w:t xml:space="preserve">projekta iesniedzējam</w:t>
            </w:r>
            <w:r w:rsidR="00000000" w:rsidRPr="00000000" w:rsidDel="00000000">
              <w:rPr>
                <w:rtl w:val="0"/>
              </w:rPr>
              <w:t xml:space="preserve"> nav ierosināta maksātnespējas procesa lieta.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iesniedzējs un sadarbības partneris (ja attiecināms) projekta iesniegumam pievieno apliecinājumu, ka attiecībā uz tiem nepastāv Maksātnespējas likumā noteiktie ierobežojumi tiesiskās aizsardzības procesa lietas ierosināšanai un pasludināšanai un projekta iesniedzējam nav ierosināta maksātnespējas procesa lieta.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Finansējuma saņēmējs un sadarbības partneris (ja attiecināms) projekta iesniegumam pievieno apliecinājumu, ka attiecībā uz to nepastāv Maksātnespējas likumā noteiktie ierobežojumi tiesiskās aizsardzības procesa lietas ierosināšanai un pasludināšanai.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21. punktu, jo gadījumā, ja projekta iesniegumam tiek pievienots attiecīgais apliecinājums, tad šis pienākums ir attiecināms uz </w:t>
            </w:r>
            <w:r w:rsidR="00000000" w:rsidRPr="00000000" w:rsidDel="00000000">
              <w:rPr>
                <w:u w:val="single"/>
                <w:rtl w:val="0"/>
              </w:rPr>
              <w:t xml:space="preserve">projekta iesniedzēju</w:t>
            </w:r>
            <w:r w:rsidR="00000000" w:rsidRPr="00000000" w:rsidDel="00000000">
              <w:rPr>
                <w:rtl w:val="0"/>
              </w:rPr>
              <w:t xml:space="preserve">, nevis finansējuma saņēmēju, jo atbilstoši Eiropas Savienības fondu 2021.—2027. gada plānošanas perioda vadības likuma 1. panta 3. punktam finansējuma saņēmējs ir persona, kuras projekta iesniegums ir apstiprināts minētajā likumā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21.punkts.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iesniedzējs un sadarbības partneris (ja attiecināms) projekta iesniegumam pievieno apliecinājumu, ka attiecībā uz tiem nepastāv Maksātnespējas likumā noteiktie ierobežojumi tiesiskās aizsardzības procesa lietas ierosināšanai un pasludināšanai un projekta iesniedzējam nav ierosināta maksātnespējas procesa lieta.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iesniedzējs, slēdzot rakstisku sadarbības līgumu, sadarbības partnera statusā var piesaistīt šādus sadarbības partnerus: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noteikumu projekta 23. punktu, lai nodrošinātu viennozīmīgu normas interpretāciju. Proti, 23. punkts nosaka, ka </w:t>
            </w:r>
            <w:r w:rsidR="00000000" w:rsidRPr="00000000" w:rsidDel="00000000">
              <w:rPr>
                <w:u w:val="single"/>
                <w:rtl w:val="0"/>
              </w:rPr>
              <w:t xml:space="preserve">projekta iesniedzējs, slēdzot rakstisku sadarbības līgumu,</w:t>
            </w:r>
            <w:r w:rsidR="00000000" w:rsidRPr="00000000" w:rsidDel="00000000">
              <w:rPr>
                <w:rtl w:val="0"/>
              </w:rPr>
              <w:t xml:space="preserve"> sadarbības partnera statusā var piesaistīt konkrētus subjektus. Vienlaikus noteikumu projekta 24. punktā noteikts, ka </w:t>
            </w:r>
            <w:r w:rsidR="00000000" w:rsidRPr="00000000" w:rsidDel="00000000">
              <w:rPr>
                <w:u w:val="single"/>
                <w:rtl w:val="0"/>
              </w:rPr>
              <w:t xml:space="preserve">sadarbības līgumu ar sadarbības partneri slēdz finansējuma saņēmējs</w:t>
            </w:r>
            <w:r w:rsidR="00000000" w:rsidRPr="00000000" w:rsidDel="00000000">
              <w:rPr>
                <w:rtl w:val="0"/>
              </w:rPr>
              <w:t xml:space="preserve"> (t.i. kad projekta iesniegums jau ir apstiprināts).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lūdzam vai nu svītrot noteikumu projekta 23. punkta ievaddaļā vārdus "slēdzot rakstisku sadarbības līgumu", vai arī 23. punktā un tā apakšpunktos atsaukties uz finansējuma saņēmēju, nevis projekta iesniedzēju.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Finansējuma saņēmējs, slēdzot rakstisku sadarbības līgumu, sadarbības partnera statusā var piesaistīt šādus sadarbības partnerus: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uz projekta iesniegšanas brīdi šo noteikumu </w:t>
            </w:r>
            <w:r w:rsidR="00000000" w:rsidRPr="00000000" w:rsidDel="00000000">
              <w:rPr>
                <w:rtl w:val="0"/>
              </w:rPr>
              <w:t xml:space="preserve">22.1.</w:t>
            </w:r>
            <w:r w:rsidR="00000000" w:rsidRPr="00000000" w:rsidDel="00000000">
              <w:rPr>
                <w:rtl w:val="0"/>
              </w:rPr>
              <w:t xml:space="preserve"> apakšpunktā minētajam finansējuma saņēmējam nav piešķirts metodiskās vadības institūcijas ģimenes medicīnas jomā statuss, tad projekta iesniegumam pievieno Veselības ministrijas kā nozares ministrijas apliecinājumu, ka metodiskās vadības institūcijas ģimenes medicīnas jomā statuss tiks piešķirts Rīgas Stradiņa universitātei ne vēlāk kā līdz projekta pabeigšanai.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noteikumu projekta 23. punktu, ņemot vērā, ka š.g. 22. oktobrī jau pieņemts lēmums piešķirt Rīgas Stradiņa universitātei metodiskās vadības institūcijas statusu ģimenes medicīnas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MK noteikumu projekta 23.punkts.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Projekta iesniedzējs sadarbības partneru statusā pasākumā var piesaistīt ārstniecības iestādes, kas nodrošina valsts apmaksātus primārās un sekundārās veselības aprūpes pakalpojumus. Lai nodrošinātu šo noteikumu </w:t>
            </w:r>
            <w:r w:rsidR="00000000" w:rsidRPr="00000000" w:rsidDel="00000000">
              <w:rPr>
                <w:rtl w:val="0"/>
              </w:rPr>
              <w:t xml:space="preserve">13.</w:t>
            </w:r>
            <w:r w:rsidR="00000000" w:rsidRPr="00000000" w:rsidDel="00000000">
              <w:rPr>
                <w:rtl w:val="0"/>
              </w:rPr>
              <w:t xml:space="preserve"> punktā noteikto prasību, šo noteikumu </w:t>
            </w:r>
            <w:r w:rsidR="00000000" w:rsidRPr="00000000" w:rsidDel="00000000">
              <w:rPr>
                <w:rtl w:val="0"/>
              </w:rPr>
              <w:t xml:space="preserve">22.1.</w:t>
            </w:r>
            <w:r w:rsidR="00000000" w:rsidRPr="00000000" w:rsidDel="00000000">
              <w:rPr>
                <w:rtl w:val="0"/>
              </w:rPr>
              <w:t xml:space="preserve"> apakšpunktā  minētais finansējuma saņēmējs sadarbības partneru statusā obligāti piesaista sadarbības partnerus, kas sniedz valsts apmaksātos primārās un / vai sekundārās veselības aprūpes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juridiskās tehnikas prasībām tiesību normai ir jābūt skaidrai, lai tās lietotājs un piemērotājs gūtu nepārprotamu priekšstatu par normā ietvertajiem pienākumiem un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noteikumu projekta 24. punktu vai 13. punktu, jo no noteikumu projekta 24. punkta pirmā teikuma nav viennozīmīgi interpretējams, kādos gadījumos sadarbības partneru statusā </w:t>
            </w:r>
            <w:r w:rsidR="00000000" w:rsidRPr="00000000" w:rsidDel="00000000">
              <w:rPr>
                <w:u w:val="single"/>
                <w:rtl w:val="0"/>
              </w:rPr>
              <w:t xml:space="preserve">var piesaistīt</w:t>
            </w:r>
            <w:r w:rsidR="00000000" w:rsidRPr="00000000" w:rsidDel="00000000">
              <w:rPr>
                <w:rtl w:val="0"/>
              </w:rPr>
              <w:t xml:space="preserve"> (t.i. nav pienākuma piesaistīt) ārstniecības iestādes, kas nodrošina valsts apmaksātus primārās un sekundārās veselības aprūpes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vai noteikumu projekta 24. punkts nedublē 13.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24.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Finansējuma saņēmējs, slēdzot rakstisku sadarbības līgumu, sadarbības partnera statusā var piesaistīt šādus sadarbības partnerus: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uz projekta iesnieguma iesniegšanas brīdi projekta iesniedzējs nav nodrošinājis šo noteikumu </w:t>
            </w:r>
            <w:r w:rsidR="00000000" w:rsidRPr="00000000" w:rsidDel="00000000">
              <w:rPr>
                <w:rtl w:val="0"/>
              </w:rPr>
              <w:t xml:space="preserve">24.</w:t>
            </w:r>
            <w:r w:rsidR="00000000" w:rsidRPr="00000000" w:rsidDel="00000000">
              <w:rPr>
                <w:rtl w:val="0"/>
              </w:rPr>
              <w:t xml:space="preserve"> punktā un / vai </w:t>
            </w:r>
            <w:r w:rsidR="00000000" w:rsidRPr="00000000" w:rsidDel="00000000">
              <w:rPr>
                <w:rtl w:val="0"/>
              </w:rPr>
              <w:t xml:space="preserve">48.10.</w:t>
            </w:r>
            <w:r w:rsidR="00000000" w:rsidRPr="00000000" w:rsidDel="00000000">
              <w:rPr>
                <w:rtl w:val="0"/>
              </w:rPr>
              <w:t xml:space="preserve"> apakšpunktā minēto prasību, tad projekta iesniegumam pievieno dokumentāciju, kas apliecina noteikto prasību izpildi ne vēlāk kā līdz projekta pabeigšanai.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noteikumu projekta 25. punktu attiecībā uz tajā ietverto atsauci uz noteikumu projekta 48.10. apakšpunktu vai skaidrot anotācijā, kā </w:t>
            </w:r>
            <w:r w:rsidR="00000000" w:rsidRPr="00000000" w:rsidDel="00000000">
              <w:rPr>
                <w:u w:val="single"/>
                <w:rtl w:val="0"/>
              </w:rPr>
              <w:t xml:space="preserve">uz projekta iesnieguma iesniegšanas brīdi</w:t>
            </w:r>
            <w:r w:rsidR="00000000" w:rsidRPr="00000000" w:rsidDel="00000000">
              <w:rPr>
                <w:rtl w:val="0"/>
              </w:rPr>
              <w:t xml:space="preserve"> varētu būt nodrošināta noteikumu projekta 48.10. apakšpunktā minētā prasība, ņemot vērā, ka attiecīgais apakšpunkts paredz </w:t>
            </w:r>
            <w:r w:rsidR="00000000" w:rsidRPr="00000000" w:rsidDel="00000000">
              <w:rPr>
                <w:u w:val="single"/>
                <w:rtl w:val="0"/>
              </w:rPr>
              <w:t xml:space="preserve">finansējuma saņēmēja pienākumu nodrošināt, ka projekta ietvaros tiek attīstīta infrastruktūra</w:t>
            </w:r>
            <w:r w:rsidR="00000000" w:rsidRPr="00000000" w:rsidDel="00000000">
              <w:rPr>
                <w:rtl w:val="0"/>
              </w:rPr>
              <w:t xml:space="preserve"> trīs un vairāk ģimenes ārstu prakšu pakalpojumu nodrošināšanai, t.i., finansējuma saņēmēja pienākumu projekta īstenošanas ietvaros, nevis jau pirms tā uzsākšanas.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noteikumi 25.punkts dzēsts un attiecīgi minētā prasība par trīs un vairāk ģimenes ārstu prakšu piesaisti būs jānodrošina pirms projekta uzsākšanas.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Lai attīstītu infrastruktūru, kurā tiek nodrošināti valsts apmaksāti primārās un sekundārās veselības aprūpes pakalpojumi, pasākuma ietvaros ir atbalstāmas šādas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projekta ietvaros atbalsts tiek sniegts primārās veselības aprūpes attīstībai, lūdzam pārskatīt un precizēt noteikumu projekta 30.un 41.punktu, svītrojot informāciju par sekundārās veselības aprūpes pakalpojumiem.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Pasākuma ietvaros ir atbalstāmas šādas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Šo noteikumu </w:t>
            </w:r>
            <w:r w:rsidR="00000000" w:rsidRPr="00000000" w:rsidDel="00000000">
              <w:rPr>
                <w:rtl w:val="0"/>
              </w:rPr>
              <w:t xml:space="preserve">32.1.</w:t>
            </w:r>
            <w:r w:rsidR="00000000" w:rsidRPr="00000000" w:rsidDel="00000000">
              <w:rPr>
                <w:rtl w:val="0"/>
              </w:rPr>
              <w:t xml:space="preserve"> apakšpunktā minētās atbalstāmās darbības ietvaros ir attiecināmas finansējuma saņēmēja projekta vadības personāla izmaksas, kas radušās uz darba līguma vai uzņēmuma līguma pamata, tai skaitā normatīvajos aktos noteiktās piemaksas un nodokļi,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projekta vadības personāla izmaksām nevar piemērot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55. panta 1.punktā noteikto iespēju, tas ir izmantot līdz 20% vienoto likmi, ņemot vērā, ka tas samazinās administratīvo slogu visiem iesaistītajiem.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izvērtējot situāciju, projekta vadības personāla izmaksām vienotā likme netiks piemērota, jo sniegtais atbalsts ir uzskatāms par komercdarbības atbalstu un vienotās likmes piemērošana personāla izmaksām nav obligāta.  Papildus, izvērtējot atbalsta finansējuma apmēru, secinām, ka nepieciešams uzraudzīt faktiskās projekta izmaksas, tai skaitā projekta vadības personāla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Šo noteikumu </w:t>
            </w:r>
            <w:r w:rsidR="00000000" w:rsidRPr="00000000" w:rsidDel="00000000">
              <w:rPr>
                <w:rtl w:val="0"/>
              </w:rPr>
              <w:t xml:space="preserve">30.1.</w:t>
            </w:r>
            <w:r w:rsidR="00000000" w:rsidRPr="00000000" w:rsidDel="00000000">
              <w:rPr>
                <w:rtl w:val="0"/>
              </w:rPr>
              <w:t xml:space="preserve"> apakšpunktā minētās atbalstāmās darbības ietvaros ir attiecināmas finansējuma saņēmēja projekta vadības personāla izmaksas, kas radušās uz darba līguma vai uzņēmuma līguma pamata, tai skaitā normatīvajos aktos noteiktās piemaksas un nodokļi, šādā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izmaksu apmērs nepārsniedz ierobežojumu, ko aprēķina ar minimālo izmaksu bāzi 34 422 </w:t>
            </w:r>
            <w:r w:rsidR="00000000" w:rsidRPr="00000000" w:rsidDel="00000000">
              <w:rPr>
                <w:i w:val="1"/>
                <w:rtl w:val="0"/>
              </w:rPr>
              <w:t xml:space="preserve">euro</w:t>
            </w:r>
            <w:r w:rsidR="00000000" w:rsidRPr="00000000" w:rsidDel="00000000">
              <w:rPr>
                <w:rtl w:val="0"/>
              </w:rPr>
              <w:t xml:space="preserve"> gadā, pieskaitot 0,64 % no projekta tiešajām attiecināmajām izmaksām, bet neieskaitot tiešās projekta vadības personāla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vadošās iestādes vadlīniju Nr.1.2. ''Vadlīnijas attiecināmo izmaksu noteikšanai 2021.-2027.gada plānošanas periodā" 25. zemsvītras atsaucei, lūdzam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izmaksu apmērs nepārsniedz ES fondu daļas ierobežojumu, ko aprēķina ar minimālo izmaksu bāzi 34 422 euro gadā, pieskaitot 0,64 % no projekta tiešajām attiecināmajām izmaksām, bet neieskaitot tiešās projekta vadības personāla izmaksas, un summu reizinot ar projekta ilgumu gados. Ja projekts ilgst mazāk par gadu vai nepilnos kalendārajos gados, ierobežojums tiek aprēķināts proporcionāli projekta mēnešu skaitam''.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izmaksu apmērs nepārsniedz ES fondu daļas ierobežojumu, ko aprēķina ar minimālo izmaksu bāzi 34 422 </w:t>
            </w:r>
            <w:r w:rsidR="00000000" w:rsidRPr="00000000" w:rsidDel="00000000">
              <w:rPr>
                <w:i w:val="1"/>
                <w:rtl w:val="0"/>
              </w:rPr>
              <w:t xml:space="preserve">euro</w:t>
            </w:r>
            <w:r w:rsidR="00000000" w:rsidRPr="00000000" w:rsidDel="00000000">
              <w:rPr>
                <w:rtl w:val="0"/>
              </w:rPr>
              <w:t xml:space="preserve"> gadā, pieskaitot 0,64 % no projekta tiešajām attiecināmajām izmaksām, bet neieskaitot tiešās projekta vadības personāla izmaksas un summu reizinot ar projekta ilgumu gados. Ja projekts ilgst mazāk par gadu vai nepilnos kalendārajos gados, ierobežojums tiek aprēķināts proporcionāli projekta mēnešu skaitam;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Šo noteikumu </w:t>
            </w:r>
            <w:r w:rsidR="00000000" w:rsidRPr="00000000" w:rsidDel="00000000">
              <w:rPr>
                <w:rtl w:val="0"/>
              </w:rPr>
              <w:t xml:space="preserve">30.4.</w:t>
            </w:r>
            <w:r w:rsidR="00000000" w:rsidRPr="00000000" w:rsidDel="00000000">
              <w:rPr>
                <w:rtl w:val="0"/>
              </w:rPr>
              <w:t xml:space="preserve"> apakšpunktā minētās atbalstāmās darbības ietvaros ir attiecināmas komunikācijas un vizuālās identitātes prasību nodrošināšanas izmaksas, lai izpildītu minētās prasības atbilstoši regulas 2021/1060 47. un 50. pantam un normatīvajiem aktiem, kas nosaka kārtību, kādā Eiropas Savienības fondu vadībā iesaistītās institūcijas nodrošina šo fondu ieviešanu 2021.–2027. gada plānošanas periodā, tai skaitā atbilstoši nepieciešamībai, lai nodrošinātu piekļūstamību informācijai, attiecināmas ir horizontālā principa “Vienlīdzība, iekļaušana, nediskriminācija un pamattiesību ievērošana” darbību īstenošanai, t.sk. indukcijas cilpu nomas, zīmju valodas tulku un vieglās valodas tulkošanas pakalpojumu izmaksas, subtitrēšanas un reāllaika transkripcijas pakalpojumu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36. punktā vārdus "tai skaitā" ar vārdiem "kā arī". Vēršam uzmanību, ka normatīvais regulējums, uz kuru atsaucas noteikumu projekta 36. punktā, sevī neietver piekļūstamības prasības horizontālā principa "Vienlīdzība, iekļaušana, nediskriminācija un pamattiesību ievērošana" īstenošanas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Šo noteikumu 30.4. apakšpunktā minētās atbalstāmās darbības ietvaros ir attiecināmas komunikācijas un vizuālās identitātes prasību nodrošināšanas izmaksas, lai izpildītu minētās prasības atbilstoši regulas 2021/1060 47. un 50. pantam un normatīvajiem aktiem, kas nosaka kārtību, kādā Eiropas Savienības fondu vadībā iesaistītās institūcijas nodrošina šo fondu ieviešanu 2021.–2027. gada plānošanas periodā,</w:t>
            </w:r>
            <w:r w:rsidR="00000000" w:rsidRPr="00000000" w:rsidDel="00000000">
              <w:rPr>
                <w:u w:val="single"/>
                <w:rtl w:val="0"/>
              </w:rPr>
              <w:t xml:space="preserve"> kā arī</w:t>
            </w:r>
            <w:r w:rsidR="00000000" w:rsidRPr="00000000" w:rsidDel="00000000">
              <w:rPr>
                <w:rtl w:val="0"/>
              </w:rPr>
              <w:t xml:space="preserve"> atbilstoši nepieciešamībai, lai nodrošinātu piekļūstamību informācijai, attiecināmas ir horizontālā principa “Vienlīdzība, iekļaušana, nediskriminācija un pamattiesību ievērošana” darbību īstenošanai, t.sk. indukcijas cilpu nomas, zīmju valodas tulku un vieglās valodas tulkošanas pakalpojumu izmaksas, subtitrēšanas un reāllaika transkripcijas pakalpojumu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Šo noteikumu </w:t>
            </w:r>
            <w:r w:rsidR="00000000" w:rsidRPr="00000000" w:rsidDel="00000000">
              <w:rPr>
                <w:rtl w:val="0"/>
              </w:rPr>
              <w:t xml:space="preserve">30.4.</w:t>
            </w:r>
            <w:r w:rsidR="00000000" w:rsidRPr="00000000" w:rsidDel="00000000">
              <w:rPr>
                <w:rtl w:val="0"/>
              </w:rPr>
              <w:t xml:space="preserve"> apakšpunktā minētās atbalstāmās darbības ietvaros ir attiecināmas komunikācijas un vizuālās identitātes prasību nodrošināšanas izmaksas, lai izpildītu minētās prasības atbilstoši regulas 2021/1060 47. un 50. pantam un normatīvajiem aktiem, kas nosaka kārtību, kādā Eiropas Savienības fondu vadībā iesaistītās institūcijas nodrošina šo fondu ieviešanu 2021.–2027. gada plānošanas periodā, kā arī atbilstoši nepieciešamībai, lai nodrošinātu piekļūstamību informācijai, attiecināmas ir horizontālā principa “Vienlīdzība, iekļaušana, nediskriminācija un pamattiesību ievērošana” darbību īstenošanai, t.sk. indukcijas cilpu nomas, zīmju valodas tulku un vieglās valodas tulkošanas pakalpojumu izmaksas, subtitrēšanas un reāllaika transkripcijas pakalpojumu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Ja šo noteikumu </w:t>
            </w:r>
            <w:r w:rsidR="00000000" w:rsidRPr="00000000" w:rsidDel="00000000">
              <w:rPr>
                <w:rtl w:val="0"/>
              </w:rPr>
              <w:t xml:space="preserve">22.2. </w:t>
            </w:r>
            <w:r w:rsidR="00000000" w:rsidRPr="00000000" w:rsidDel="00000000">
              <w:rPr>
                <w:rtl w:val="0"/>
              </w:rPr>
              <w:t xml:space="preserve">apakšpunktā minētais finansējuma saņēmējs projekta ietvaros piesaista sadarbības partneri, tad, saskaņā ar šo noteikumu </w:t>
            </w:r>
            <w:r w:rsidR="00000000" w:rsidRPr="00000000" w:rsidDel="00000000">
              <w:rPr>
                <w:rtl w:val="0"/>
              </w:rPr>
              <w:t xml:space="preserve">30.</w:t>
            </w:r>
            <w:r w:rsidR="00000000" w:rsidRPr="00000000" w:rsidDel="00000000">
              <w:rPr>
                <w:rtl w:val="0"/>
              </w:rPr>
              <w:t xml:space="preserve"> punktu, šo noteikumu </w:t>
            </w:r>
            <w:r w:rsidR="00000000" w:rsidRPr="00000000" w:rsidDel="00000000">
              <w:rPr>
                <w:rtl w:val="0"/>
              </w:rPr>
              <w:t xml:space="preserve">22.2.</w:t>
            </w:r>
            <w:r w:rsidR="00000000" w:rsidRPr="00000000" w:rsidDel="00000000">
              <w:rPr>
                <w:rtl w:val="0"/>
              </w:rPr>
              <w:t xml:space="preserve"> apakšpunktā minētais finansējuma saņēmējs un sadarbības partneris (ja attiecināms) un šo noteikumu </w:t>
            </w:r>
            <w:r w:rsidR="00000000" w:rsidRPr="00000000" w:rsidDel="00000000">
              <w:rPr>
                <w:rtl w:val="0"/>
              </w:rPr>
              <w:t xml:space="preserve">23.1.</w:t>
            </w:r>
            <w:r w:rsidR="00000000" w:rsidRPr="00000000" w:rsidDel="00000000">
              <w:rPr>
                <w:rtl w:val="0"/>
              </w:rPr>
              <w:t xml:space="preserve"> </w:t>
            </w:r>
            <w:r w:rsidR="00000000" w:rsidRPr="00000000" w:rsidDel="00000000">
              <w:rPr>
                <w:rtl w:val="0"/>
              </w:rPr>
              <w:t xml:space="preserve">apakšpunktā minētie sadarbības partneri aprēķina infrastruktūras, kurā sniedz primārās un sekundārās veselības aprūpes pakalpojumus izmantošanas proporciju un piemēro to projekta kopējam finansējumam, nosakot publiskā un privātā finansējuma apmēru, atbilstoši šādam aprēķinam: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41.punktā iekļaut atsauci arī uz noteikumu projekta 23.2. apakšpunktā minēto sadarbības partneri. Papildus aicinām svītrot atsauci uz noteikumu projekta 30.punktu, bet izvērtēt iespēju veidot atsauci uz noteikuma projekta 13.punktu,kurā ir noteikti komercdarbības atbalsta piešķiršanas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Šo noteikumu </w:t>
            </w:r>
            <w:r w:rsidR="00000000" w:rsidRPr="00000000" w:rsidDel="00000000">
              <w:rPr>
                <w:rtl w:val="0"/>
              </w:rPr>
              <w:t xml:space="preserve">22.2. </w:t>
            </w:r>
            <w:r w:rsidR="00000000" w:rsidRPr="00000000" w:rsidDel="00000000">
              <w:rPr>
                <w:rtl w:val="0"/>
              </w:rPr>
              <w:t xml:space="preserve">apakšpunktā minētais finansējuma saņēmējs, šo noteikumu </w:t>
            </w:r>
            <w:r w:rsidR="00000000" w:rsidRPr="00000000" w:rsidDel="00000000">
              <w:rPr>
                <w:rtl w:val="0"/>
              </w:rPr>
              <w:t xml:space="preserve">23.2. </w:t>
            </w:r>
            <w:r w:rsidR="00000000" w:rsidRPr="00000000" w:rsidDel="00000000">
              <w:rPr>
                <w:rtl w:val="0"/>
              </w:rPr>
              <w:t xml:space="preserve">apakšpunktā minētais sadarbības partneris (ja attiecināms) un šo noteikumu </w:t>
            </w:r>
            <w:r w:rsidR="00000000" w:rsidRPr="00000000" w:rsidDel="00000000">
              <w:rPr>
                <w:rtl w:val="0"/>
              </w:rPr>
              <w:t xml:space="preserve">23.1. </w:t>
            </w:r>
            <w:r w:rsidR="00000000" w:rsidRPr="00000000" w:rsidDel="00000000">
              <w:rPr>
                <w:rtl w:val="0"/>
              </w:rPr>
              <w:t xml:space="preserve">apakšpunktā minētie sadarbības partneri, saskaņā ar šo noteikumu </w:t>
            </w:r>
            <w:r w:rsidR="00000000" w:rsidRPr="00000000" w:rsidDel="00000000">
              <w:rPr>
                <w:rtl w:val="0"/>
              </w:rPr>
              <w:t xml:space="preserve">13. </w:t>
            </w:r>
            <w:r w:rsidR="00000000" w:rsidRPr="00000000" w:rsidDel="00000000">
              <w:rPr>
                <w:rtl w:val="0"/>
              </w:rPr>
              <w:t xml:space="preserve">punktu, aprēķina infrastruktūras, kurā sniedz primārās veselības aprūpes pakalpojumus izmantošanas proporciju un piemēro to projekta daļas finansējumam, kas attiecas uz vispārējas tautsaimnieciskas nozīmes pakalpojumu mērķi, nosakot publiskā un privātā finansējuma apmēru, atbilstoši šādam aprēķinam: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Ja šo noteikumu </w:t>
            </w:r>
            <w:r w:rsidR="00000000" w:rsidRPr="00000000" w:rsidDel="00000000">
              <w:rPr>
                <w:rtl w:val="0"/>
              </w:rPr>
              <w:t xml:space="preserve">22.2. </w:t>
            </w:r>
            <w:r w:rsidR="00000000" w:rsidRPr="00000000" w:rsidDel="00000000">
              <w:rPr>
                <w:rtl w:val="0"/>
              </w:rPr>
              <w:t xml:space="preserve">apakšpunktā minētais finansējuma saņēmējs projekta ietvaros piesaista sadarbības partneri, tad, saskaņā ar šo noteikumu </w:t>
            </w:r>
            <w:r w:rsidR="00000000" w:rsidRPr="00000000" w:rsidDel="00000000">
              <w:rPr>
                <w:rtl w:val="0"/>
              </w:rPr>
              <w:t xml:space="preserve">30.</w:t>
            </w:r>
            <w:r w:rsidR="00000000" w:rsidRPr="00000000" w:rsidDel="00000000">
              <w:rPr>
                <w:rtl w:val="0"/>
              </w:rPr>
              <w:t xml:space="preserve"> punktu, šo noteikumu </w:t>
            </w:r>
            <w:r w:rsidR="00000000" w:rsidRPr="00000000" w:rsidDel="00000000">
              <w:rPr>
                <w:rtl w:val="0"/>
              </w:rPr>
              <w:t xml:space="preserve">22.2.</w:t>
            </w:r>
            <w:r w:rsidR="00000000" w:rsidRPr="00000000" w:rsidDel="00000000">
              <w:rPr>
                <w:rtl w:val="0"/>
              </w:rPr>
              <w:t xml:space="preserve"> apakšpunktā minētais finansējuma saņēmējs un sadarbības partneris (ja attiecināms) un šo noteikumu </w:t>
            </w:r>
            <w:r w:rsidR="00000000" w:rsidRPr="00000000" w:rsidDel="00000000">
              <w:rPr>
                <w:rtl w:val="0"/>
              </w:rPr>
              <w:t xml:space="preserve">23.1.</w:t>
            </w:r>
            <w:r w:rsidR="00000000" w:rsidRPr="00000000" w:rsidDel="00000000">
              <w:rPr>
                <w:rtl w:val="0"/>
              </w:rPr>
              <w:t xml:space="preserve"> </w:t>
            </w:r>
            <w:r w:rsidR="00000000" w:rsidRPr="00000000" w:rsidDel="00000000">
              <w:rPr>
                <w:rtl w:val="0"/>
              </w:rPr>
              <w:t xml:space="preserve">apakšpunktā minētie sadarbības partneri aprēķina infrastruktūras, kurā sniedz primārās un sekundārās veselības aprūpes pakalpojumus izmantošanas proporciju un piemēro to projekta kopējam finansējumam, nosakot publiskā un privātā finansējuma apmēru, atbilstoši šādam aprēķinam: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noteikumu projekta 22.1. apakšpunktā minētā finansējuma saņēmēja gadījumā tā virzītā projekta ietvaros ir plānots atbalstīt tikai to infrastruktūru, kuru izmanto noteikumu projekta 23.1. apakšpunktā minētais sadarbības partneris, lūdzam nodrošināt, ka projektā, kuram atbilstoši noteikumu projekā ietvertajiem nosacījumiem atbalsts tiek sniegts, piemērojot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 (turpmāk - VTNP lēmums), tiek aprēķināta proporcija un VTNP lēmums tiek attiecināts tikai uz to infrastruktūras daļu, kuru sadarbības partneris izmantos valsts apmaksāto veselības aprūpes pakalpojumu nodrošināšanai, 22.1. apakšpunktā minētajam finansējuma saņēmējam proporcijas aprēķins jāveic nebūtu. Ja tomēr 23.1. apakšpunktā minētais sadarbības partneris tāds būs attiecībā uz daļu no 22.1. apakšpunktā minētā finansējuma saņēmēja infrastruktūras, tad arī 22.1. apakšpunktā minētajam projekta iesniedzējam būtu jāveic 41. punktā noteiktais proporcijas aprēķins. Lūdzam atbilstoši precizēt noteikumu projekta 41. punktu, papildinot arī ar 22.1. apakšpunktā minēto finansējuma saņēmēju, vai anotācijā skaidrot, ka infrastruktūrā, kurai plānots atbalsts, finansējuma saņēmējs neveic citas darbības, kā vien tās, ko veic sadarbības partneris.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41. punkta redakciju, jo tas, vai 'šo noteikumu 22.2. apakšpunktā minētais finansējuma saņēmējs projekta ietvaros piesaista sadarbības partneri' nevar būt priekšnosacījums ne attiecībā uz šo noteikumu 22.2. apakšpunktā minēto finansējuma saņēmēju un 23.2. apakšpunktā minēto sadarbības partneri, ne arī attiecībā uz 23.1. apakšpunktā (un provizoriski 22.1. apakšpunktā) minēto subjektu tālāko pienākumu veikt infrastruktūras proporcijas aprēķinu, kurā sniedz primārās veselības aprūpes pakalpojumus izmantošanas proporciju.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Šo noteikumu </w:t>
            </w:r>
            <w:r w:rsidR="00000000" w:rsidRPr="00000000" w:rsidDel="00000000">
              <w:rPr>
                <w:rtl w:val="0"/>
              </w:rPr>
              <w:t xml:space="preserve">22.2. </w:t>
            </w:r>
            <w:r w:rsidR="00000000" w:rsidRPr="00000000" w:rsidDel="00000000">
              <w:rPr>
                <w:rtl w:val="0"/>
              </w:rPr>
              <w:t xml:space="preserve">apakšpunktā minētais finansējuma saņēmējs, šo noteikumu </w:t>
            </w:r>
            <w:r w:rsidR="00000000" w:rsidRPr="00000000" w:rsidDel="00000000">
              <w:rPr>
                <w:rtl w:val="0"/>
              </w:rPr>
              <w:t xml:space="preserve">23.2. </w:t>
            </w:r>
            <w:r w:rsidR="00000000" w:rsidRPr="00000000" w:rsidDel="00000000">
              <w:rPr>
                <w:rtl w:val="0"/>
              </w:rPr>
              <w:t xml:space="preserve">apakšpunktā minētais sadarbības partneris (ja attiecināms) un šo noteikumu </w:t>
            </w:r>
            <w:r w:rsidR="00000000" w:rsidRPr="00000000" w:rsidDel="00000000">
              <w:rPr>
                <w:rtl w:val="0"/>
              </w:rPr>
              <w:t xml:space="preserve">23.1. </w:t>
            </w:r>
            <w:r w:rsidR="00000000" w:rsidRPr="00000000" w:rsidDel="00000000">
              <w:rPr>
                <w:rtl w:val="0"/>
              </w:rPr>
              <w:t xml:space="preserve">apakšpunktā minētie sadarbības partneri, saskaņā ar šo noteikumu </w:t>
            </w:r>
            <w:r w:rsidR="00000000" w:rsidRPr="00000000" w:rsidDel="00000000">
              <w:rPr>
                <w:rtl w:val="0"/>
              </w:rPr>
              <w:t xml:space="preserve">13. </w:t>
            </w:r>
            <w:r w:rsidR="00000000" w:rsidRPr="00000000" w:rsidDel="00000000">
              <w:rPr>
                <w:rtl w:val="0"/>
              </w:rPr>
              <w:t xml:space="preserve">punktu, aprēķina infrastruktūras, kurā sniedz primārās veselības aprūpes pakalpojumus izmantošanas proporciju un piemēro to projekta daļas finansējumam, kas attiecas uz vispārējas tautsaimnieciskas nozīmes pakalpojumu mērķi, nosakot publiskā un privātā finansējuma apmēru, atbilstoši šādam aprēķinam: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ja pašu ieņēmumi atbalstītajā objektā ir 50 procenti vai mazāki par 50 procentiem no izglītības jomas pakalpojumu sniedzēja gada budžeta atbalstītajā objektā projekta pārskata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skaidrs tas kritērijs, pēc kura tiek izslēgts komercdarbības atbalsts, lūdzam precizēt noteikumu projekta 42.1. apakšpunkta redakciju. Lūdzam piedāvātās redakcijas piemēru skatīt zemāk.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darbībai nav saimnieciska rakstura, ja pašu ieņēmumi atbalstītajā objektā ir 50 procenti vai mazāki par 50 procentiem no izglītības jomas pakalpojumu sniedzēja gada budžeta atbalstītajā objektā projekta dzīves ciklā (amortizācijas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darbībai nav saimnieciska rakstura, ja pašu ieņēmumi atbalstītajā objektā ir 50 procenti vai mazāki par 50 procentiem no izglītības jomas pakalpojumu sniedzēja gada budžeta atbalstītajā objektā  projekta dzīves ciklā (amortizācijas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ja pašu ieņēmumi atbalstītajā objektā ir 50 procenti vai mazāki par 50 procentiem no izglītības jomas pakalpojumu sniedzēja gada budžeta atbalstītajā objektā projekta pārskata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paredzēt uzraudzības mehānismu, kādā nodrošināma projekta uzraudzība projekta dzīves ciklā (amortizācijas periodā). Aicinām izvērtēt iespēju ieviest pašdeklarāciju principu, balstoties uz riskos balstītu pieeju, piemēram, paredzēt finansējuma saņēmējam pienākumu veikt paškontroli, vai projekts attiecībā uz augstākās izglītības iestādes infrastruktūras attīstību atbilst šo noteikumu projekta 42.1. un 42.2.apakšpunktā minētajiem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darbībai nav saimnieciska rakstura, ja pašu ieņēmumi atbalstītajā objektā ir 50 procenti vai mazāki par 50 procentiem no izglītības jomas pakalpojumu sniedzēja gada budžeta atbalstītajā objektā  projekta dzīves ciklā (amortizācijas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Ja projekta īstenošanas laikā un vismaz piecus gadus pēc noslēguma maksājuma saņemšanas tiek pārkāptas šo noteikumu </w:t>
            </w:r>
            <w:r w:rsidR="00000000" w:rsidRPr="00000000" w:rsidDel="00000000">
              <w:rPr>
                <w:rtl w:val="0"/>
              </w:rPr>
              <w:t xml:space="preserve">42. </w:t>
            </w:r>
            <w:r w:rsidR="00000000" w:rsidRPr="00000000" w:rsidDel="00000000">
              <w:rPr>
                <w:rtl w:val="0"/>
              </w:rPr>
              <w:t xml:space="preserve">punktā noteiktās atbalsta piešķiršanas prasības, finansējuma saņēmējam ir pienākums atmaksāt atbalsta sniedzējam visu projekta ietvaros saņemto nelikumīgo atbalstu kopā ar procentiem no līdzekļiem, kas ir brīvi no komercdarbības atbalsta, saskaņā ar Komercdarbības atbalsta kontroles likuma IV vai V 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43. punktu tā, lai ir skaidrs, ka valsts atbalsta izslēdzošie nosacījumi ir jāievēro visu projekta dzīves ciklu, kas ir ieguldījumu amortizācijas periods. Lūdzam piedāvātās redakcijas piemēru skatīt zemāk.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Ja projekta īstenošanas laikā un vismaz piecus gadus pēc noslēguma maksājuma saņemšanas un projekta dzīves cikla laikā (amortizācijas periodā) tiek pārkāptas šo noteikumu 42. punktā noteiktās atbalsta piešķiršanas prasības vai, ja projekta īstenošanas laikā vai amortizācijas periodā tas kļūst par tādu, kas kvalificējas kā komercdarbības atbalsts, finansējuma saņēmējam ir pienākums atmaksāt atbalsta sniedzējam projekta ietvaros saņemto nelikumīgo komercdarbības atbalstu kopā ar procentiem no līdzekļiem, kas ir brīvi no komercdarbības atbalsta, saskaņā ar Komercdarbības atbalsta kontroles likuma IV vai V nodaļu.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Ja projekta īstenošanas laikā un vismaz piecus gadus pēc noslēguma maksājuma saņemšanas un projekta dzīves cikla laikā (amortizācijas periodā) tiek pārkāptas šo noteikumu </w:t>
            </w:r>
            <w:r w:rsidR="00000000" w:rsidRPr="00000000" w:rsidDel="00000000">
              <w:rPr>
                <w:rtl w:val="0"/>
              </w:rPr>
              <w:t xml:space="preserve">42.</w:t>
            </w:r>
            <w:r w:rsidR="00000000" w:rsidRPr="00000000" w:rsidDel="00000000">
              <w:rPr>
                <w:rtl w:val="0"/>
              </w:rPr>
              <w:t xml:space="preserve">  punktā noteiktās atbalsta piešķiršanas prasības vai, ja projekta īstenošanas laikā vai amortizācijas periodā tas kļūst par tādu, kas kvalificējas kā komercdarbības atbalsts, finansējuma saņēmējam ir pienākums atmaksāt atbalsta sniedzējam projekta ietvaros saņemto nelikumīgo komercdarbības atbalstu kopā ar procentiem no līdzekļiem, kas ir brīvi no komercdarbības atbalsta, saskaņā ar Komercdarbības atbalsta kontroles likuma IV vai V nodaļu.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Šo noteikumu </w:t>
            </w:r>
            <w:r w:rsidR="00000000" w:rsidRPr="00000000" w:rsidDel="00000000">
              <w:rPr>
                <w:rtl w:val="0"/>
              </w:rPr>
              <w:t xml:space="preserve">22.2. </w:t>
            </w:r>
            <w:r w:rsidR="00000000" w:rsidRPr="00000000" w:rsidDel="00000000">
              <w:rPr>
                <w:rtl w:val="0"/>
              </w:rPr>
              <w:t xml:space="preserve">apakšpunktā minētais finansējuma saņēmējs, šo noteikumu </w:t>
            </w:r>
            <w:r w:rsidR="00000000" w:rsidRPr="00000000" w:rsidDel="00000000">
              <w:rPr>
                <w:rtl w:val="0"/>
              </w:rPr>
              <w:t xml:space="preserve">23.2. </w:t>
            </w:r>
            <w:r w:rsidR="00000000" w:rsidRPr="00000000" w:rsidDel="00000000">
              <w:rPr>
                <w:rtl w:val="0"/>
              </w:rPr>
              <w:t xml:space="preserve">apakšpunktā minētais sadarbības partneris (ja attiecināms) un šo noteikumu </w:t>
            </w:r>
            <w:r w:rsidR="00000000" w:rsidRPr="00000000" w:rsidDel="00000000">
              <w:rPr>
                <w:rtl w:val="0"/>
              </w:rPr>
              <w:t xml:space="preserve">23.1. </w:t>
            </w:r>
            <w:r w:rsidR="00000000" w:rsidRPr="00000000" w:rsidDel="00000000">
              <w:rPr>
                <w:rtl w:val="0"/>
              </w:rPr>
              <w:t xml:space="preserve">apakšpunktā minētie sadarbības partneri, saskaņā ar šo noteikumu </w:t>
            </w:r>
            <w:r w:rsidR="00000000" w:rsidRPr="00000000" w:rsidDel="00000000">
              <w:rPr>
                <w:rtl w:val="0"/>
              </w:rPr>
              <w:t xml:space="preserve">13. </w:t>
            </w:r>
            <w:r w:rsidR="00000000" w:rsidRPr="00000000" w:rsidDel="00000000">
              <w:rPr>
                <w:rtl w:val="0"/>
              </w:rPr>
              <w:t xml:space="preserve">punktu, aprēķina infrastruktūras, kurā sniedz primārās veselības aprūpes pakalpojumus izmantošanas proporciju un piemēro to projekta kopējam finansējumam, nosakot publiskā un privātā finansējuma apmēru, atbilstoši šādam aprēķinam: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projekts paredz atbalsta sniegšanu arī attiecībā uz augstākās izglītības iestādes infrastruktūras attīstību, lūdzam precizēt noteikumu projekta 45. punktu, nosakot, ka infrastruktūras, kurā sniedz primārās veselības aprūpes pakalpojumus, izmantošanas proporcijas aprēķinu piemēro, nevis projekta kopējam finansējumam, bet tās projekta daļas finansējumam, kas attiecas uz vispārējas tautsaimnieciskas nozīmes pakalpojumu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nepieciešams, lūdzam pēc analoģijas šo aspektu precizēt arī citās noteikuma projekta normās, piemēram, noteikumu projekta 42.2. apakšpunktā.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Šo noteikumu </w:t>
            </w:r>
            <w:r w:rsidR="00000000" w:rsidRPr="00000000" w:rsidDel="00000000">
              <w:rPr>
                <w:rtl w:val="0"/>
              </w:rPr>
              <w:t xml:space="preserve">22.2. </w:t>
            </w:r>
            <w:r w:rsidR="00000000" w:rsidRPr="00000000" w:rsidDel="00000000">
              <w:rPr>
                <w:rtl w:val="0"/>
              </w:rPr>
              <w:t xml:space="preserve">apakšpunktā minētais finansējuma saņēmējs, šo noteikumu </w:t>
            </w:r>
            <w:r w:rsidR="00000000" w:rsidRPr="00000000" w:rsidDel="00000000">
              <w:rPr>
                <w:rtl w:val="0"/>
              </w:rPr>
              <w:t xml:space="preserve">23.2. </w:t>
            </w:r>
            <w:r w:rsidR="00000000" w:rsidRPr="00000000" w:rsidDel="00000000">
              <w:rPr>
                <w:rtl w:val="0"/>
              </w:rPr>
              <w:t xml:space="preserve">apakšpunktā minētais sadarbības partneris (ja attiecināms) un šo noteikumu </w:t>
            </w:r>
            <w:r w:rsidR="00000000" w:rsidRPr="00000000" w:rsidDel="00000000">
              <w:rPr>
                <w:rtl w:val="0"/>
              </w:rPr>
              <w:t xml:space="preserve">23.1. </w:t>
            </w:r>
            <w:r w:rsidR="00000000" w:rsidRPr="00000000" w:rsidDel="00000000">
              <w:rPr>
                <w:rtl w:val="0"/>
              </w:rPr>
              <w:t xml:space="preserve">apakšpunktā minētie sadarbības partneri, saskaņā ar šo noteikumu </w:t>
            </w:r>
            <w:r w:rsidR="00000000" w:rsidRPr="00000000" w:rsidDel="00000000">
              <w:rPr>
                <w:rtl w:val="0"/>
              </w:rPr>
              <w:t xml:space="preserve">13. </w:t>
            </w:r>
            <w:r w:rsidR="00000000" w:rsidRPr="00000000" w:rsidDel="00000000">
              <w:rPr>
                <w:rtl w:val="0"/>
              </w:rPr>
              <w:t xml:space="preserve">punktu, aprēķina infrastruktūras, kurā sniedz primārās veselības aprūpes pakalpojumus izmantošanas proporciju un piemēro to projekta daļas finansējumam, kas attiecas uz vispārējas tautsaimnieciskas nozīmes pakalpojumu mērķi, nosakot publiskā un privātā finansējuma apmēru, atbilstoši šādam aprēķinam: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48.8. nodrošina, ka iepirkumus, kuri nepieciešami atbalstāmo darbību īstenošanai, finansējuma saņēmējs veic atklātā, pārredzamā, nediskriminējošā un konkurenci nodrošinošā, sociāli atbildīgā veidā, kā arī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pēc nepieciešamības saskaņot informāciju attiecībā uz iepirkumu veikšanu, ņemot vērā anotācijā minēto, ka finansējuma saņēmējs iepirkumus iespēju robežās veiks kā sociāli atbildīgu iepirkumu.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anotācija un MK noteikumu projekta 48.8.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51.8. nodrošina, ka iepirkumus, kuri nepieciešami atbalstāmo darbību īstenošanai, finansējuma saņēmējs vai sadarbības partneris veic atklātā, pārredzamā, nediskriminējošā un konkurenci nodrošinošā veidā, kā arī saskaņā ar normatīvajiem aktiem publisko iepirkumu jomā, ievērojot nediskriminācijas principus. Projekta ietvaros iespēju robežās ir atbalstāma vides prasību un inovatīva risinājuma integrēšana preču un pakalpojuma iepirkumos (zaļais publiskais iepirkums un inovāciju publiskais iepirkums) un sociāli atbildīgs iepirkums;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48.8. nodrošina, ka iepirkumus, kuri nepieciešami atbalstāmo darbību īstenošanai, finansējuma saņēmējs veic atklātā, pārredzamā, nediskriminējošā un konkurenci nodrošinošā, sociāli atbildīgā veidā, kā arī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48. punkta apakšpunktos iekļautie nosacījumi attiecas, gan uz finansējuma saņēmēju, gan uz sadarbības partneri, lūdzam precizēt noteikumu projekta 48.8. apakšpunktu, tā, lai nosacījums par atbilstošas iepirkuma procedūras nodrošināšanu attiecas arī uz sadarbības partneri (ja attiecināms). Lūdzam atbilstoši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anotācija un MK noteikumu projekta 48.8.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51.8. nodrošina, ka iepirkumus, kuri nepieciešami atbalstāmo darbību īstenošanai, finansējuma saņēmējs vai sadarbības partneris veic atklātā, pārredzamā, nediskriminējošā un konkurenci nodrošinošā veidā, kā arī saskaņā ar normatīvajiem aktiem publisko iepirkumu jomā, ievērojot nediskriminācijas principus. Projekta ietvaros iespēju robežās ir atbalstāma vides prasību un inovatīva risinājuma integrēšana preču un pakalpojuma iepirkumos (zaļais publiskais iepirkums un inovāciju publiskais iepirkums) un sociāli atbildīgs iepirkums;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Sadarbības iestāde, ja tai ir pieejami valsts budžeta līdzekļi, pēc plānotā avansa apmēra un tā pamatojuma izvērtēšanas, pamatojoties uz finansējuma saņēmēja rakstisku avansa pieprasījumu, var piešķirt finansējuma saņēmējam avansu pēc tam, kad ir noslēgts līgums par projekta īstenošanu. Finansējuma saņēmējs avansa pieprasījumu sagatavo un sadarbības iestāde to apstiprina, ņemot vērā nosacījumu, ka plānotā avansa apmērs atbilst spējai to izlietot sešu mēnešu laikā saimnieciskā gada ietvaros. Finansējuma saņēmējam avansu var piešķirt līdz 30 procentiem no projektam piešķirtā Eiropas Reģionālās attīstības fonda finansējuma, ievērojot, ka avansu var izmaksāt vairākos maksājumos un avansa un starpposma maksājumu kopsumma nepārsniedz 90 procentus no projektam piešķirtā Eiropas Reģionālās attīstības fonda finansējuma apmēra.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2023. gada 25. aprīļa noteikumu Nr. 205 "Valsts budžeta līdzekļu plānošanas kārtība Eiropas Savienības fondu projektu īstenošanai un maksājumu veikšanai 2021.–2027. gada plānošanas periodā" 10. punktu maksimālais avansa apjoms nevar pārsniegt 30 % no projektam piešķirtā Eiropas Savienības fonda finansējuma un, ja tas ir paredzēts projektā, </w:t>
            </w:r>
            <w:r w:rsidR="00000000" w:rsidRPr="00000000" w:rsidDel="00000000">
              <w:rPr>
                <w:u w:val="single"/>
                <w:rtl w:val="0"/>
              </w:rPr>
              <w:t xml:space="preserve">valsts budžeta līdzfinansējuma</w:t>
            </w:r>
            <w:r w:rsidR="00000000" w:rsidRPr="00000000" w:rsidDel="00000000">
              <w:rPr>
                <w:rtl w:val="0"/>
              </w:rPr>
              <w:t xml:space="preserve"> kopsummas, ja vien normatīvajā aktā par specifiskā atbalsta mērķa īstenošanu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minēto noteikumu 16. punktu sadarbības iestāde, veicot avansa un starpposma maksājumus, ievēro nosacījumu, ka to kopsumma nedrīkst pārsniegt 90 % no projektam piešķirtā Eiropas Savienības fonda finansējuma un, ja tas paredzēts projektā, </w:t>
            </w:r>
            <w:r w:rsidR="00000000" w:rsidRPr="00000000" w:rsidDel="00000000">
              <w:rPr>
                <w:u w:val="single"/>
                <w:rtl w:val="0"/>
              </w:rPr>
              <w:t xml:space="preserve">valsts budžeta līdzfinansējuma</w:t>
            </w:r>
            <w:r w:rsidR="00000000" w:rsidRPr="00000000" w:rsidDel="00000000">
              <w:rPr>
                <w:rtl w:val="0"/>
              </w:rPr>
              <w:t xml:space="preserve"> kopsummas, izņemot šo noteikumu 17. un 18. punktā minēto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papildināt noteikumu projekta 49. punktu, paredzot, ka avansa apmērs un avansa un starpposma maksājumu kopsummas apmērs tiek aprēķināts no Eiropas Reģionālās attīstības fonda </w:t>
            </w:r>
            <w:r w:rsidR="00000000" w:rsidRPr="00000000" w:rsidDel="00000000">
              <w:rPr>
                <w:u w:val="single"/>
                <w:rtl w:val="0"/>
              </w:rPr>
              <w:t xml:space="preserve">un valsts budžeta līdzfinansējuma</w:t>
            </w:r>
            <w:r w:rsidR="00000000" w:rsidRPr="00000000" w:rsidDel="00000000">
              <w:rPr>
                <w:rtl w:val="0"/>
              </w:rPr>
              <w:t xml:space="preserve"> kopsummas.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tā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Sadarbības iestāde, ja tai ir pieejami valsts budžeta līdzekļi, pēc plānotā avansa apmēra un tā pamatojuma izvērtēšanas, pamatojoties uz finansējuma saņēmēja rakstisku avansa pieprasījumu, var piešķirt finansējuma saņēmējam avansu pēc tam, kad ir noslēgts līgums vai vienošanās par projekta īstenošanu. Finansējuma saņēmējs avansa pieprasījumu sagatavo un sadarbības iestāde to apstiprina, ņemot vērā nosacījumu, ka plānotā avansa apmērs atbilst spējai to izlietot sešu mēnešu laikā saimnieciskā gada ietvaros. Finansējuma saņēmējam avansu var piešķirt līdz 30 procentiem no projektam piešķirtā Eiropas Reģionālās attīstības fonda finansējuma un valsts budžeta līdzfinansējuma kopsummas, ievērojot, ka avansu var izmaksāt vairākos maksājumos un avansa un starpposma maksājumu kopsumma nepārsniedz 90 procentus no projektam piešķirtā Eiropas Reģionālās attīstības fonda finansējuma un valsts budžeta līdzfinansējuma kopsummas.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apakšsadaļā "Risinājuma apraksts" norādīts, ka </w:t>
            </w:r>
            <w:r w:rsidR="00000000" w:rsidRPr="00000000" w:rsidDel="00000000">
              <w:rPr>
                <w:i w:val="1"/>
                <w:rtl w:val="0"/>
              </w:rPr>
              <w:t xml:space="preserve">projektā neiekļauj darbības, kas ir </w:t>
            </w:r>
            <w:r w:rsidR="00000000" w:rsidRPr="00000000" w:rsidDel="00000000">
              <w:rPr>
                <w:i w:val="1"/>
                <w:u w:val="single"/>
                <w:rtl w:val="0"/>
              </w:rPr>
              <w:t xml:space="preserve">pabeigtas līguma vai vienošanās par projekta īstenošanu noslēgšanas brīdī</w:t>
            </w:r>
            <w:r w:rsidR="00000000" w:rsidRPr="00000000" w:rsidDel="00000000">
              <w:rPr>
                <w:i w:val="1"/>
                <w:rtl w:val="0"/>
              </w:rPr>
              <w:t xml:space="preserve"> (t.i., piemēram, būvdarbi nedrīkst būt nodoti ekspluatācijā)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salāgojot anotācijā ietverto informāciju ar noteikumu projekta 40. punktā minēto, ka projekta iesniegumā neiekļauj un finansējumu nepiešķir darbībām, kas </w:t>
            </w:r>
            <w:r w:rsidR="00000000" w:rsidRPr="00000000" w:rsidDel="00000000">
              <w:rPr>
                <w:u w:val="single"/>
                <w:rtl w:val="0"/>
              </w:rPr>
              <w:t xml:space="preserve">pabeigtas pirms projekta iesnieguma iesniegšanas</w:t>
            </w:r>
            <w:r w:rsidR="00000000" w:rsidRPr="00000000" w:rsidDel="00000000">
              <w:rPr>
                <w:rtl w:val="0"/>
              </w:rPr>
              <w:t xml:space="preserve"> sadarbības iestādē (attiecīgā prasība atbilst arī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63. panta 6. punktā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anotācja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norādīto informāciju attiecībā uz projekta dzīves ciklu, papildinot ar informāciju par projekta dzīves cikla ilgumu un papildinot ar skaidrojumu, ka projekta dzīves cikls ir ieguldījumu amortizācijas periods.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papildu informāciju anotācijā, kāpēc Valmieras novada pašvaldība nekvalificējas pilotprojekta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sadaļā "Pašreizējā situācija, problēmas un risinājumi" atbalstāmās darbības "Informācijas un publicitātes pasākumu nodrošināšana" redakciju atbilstoši noteikumu projektā lietotai redakcijai -"Komunikācijas un vizuālās identitātes prasību nodrošināšana".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anotācijas tekstā terminu “pieejamība” aizstāt ar terminu “piekļūstamība”.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Latvijas Zinātņu akadēmijas Terminoloģijas komisijas lēmumam, ārējos un iekšējos normatīvajos aktos tiek lietots termins “piekļūstamība” (no angļu val. “accessibility”). Šāds termins lietots arī Preču un pakalpojumu piekļūstamības likumā, apzīmējot piekļūstamības prasības videi, informācijai, precēm  un pakalpojumiem, lai tie būtu ērti lietojami ikvienam, tai skaitā cilvēkiem ar dažāda veida funkcionēšanas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esam veikuši precizējumus anotācijā tajās vietās, kur ar pieejamību tiek saprasts kā termins par preču un pakalpojumu piekļūstamību prasības videi, informācijai, precēm  un pakalpojumiem, lai tie būtu ērti lietojami ikvienam, tai skaitā cilvēkiem ar dažāda veida funkcionēšanas ierobežojumiem. Savukārt 4.1.1.3. pasākuma "Primārās veselības aprūpes lomas stiprināšana, attīstot infrastruktūru" pirmās kārtas mērķis ir  uzlabot veselības aprūpes pakalpojumu kvalitāti un pieejamību vairākos aspektos, gan infrastruktūras piekļūstamības, gan cilvēkresursu pieejamības, gan pietiekama finansējuma pieejamība, gan reģionālā pārklājuma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anotācija precizēta, tai skaitā, atbilstoši Labklājības ministrijas Informatīvajā ziņojumā “Par veiktajiem pasākumiem vides piekļūstamības sekmēšanai valsts un pašvaldību iestādēs” sniegtajam terminu skaidrojumam, kur teikts - Pieejamība nozīmē vides/objekta/pakalpojuma pieejamību vai esamību kopumā, savukārt piekļūstamība nozīmē, ka konkrētajai videi/ objektam/pakalpojumam ir iespēja fiziski piekļūt un to var lietot, izmantojot vairākus sensoros (redze, dzirde, tauste) kanālus.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Veselības ministrija ir veikusi telefonisku pašvaldību aptauju un tās ir apliecinājušas, ka nav ieinteresētas šāda projekta ieviešanā, kā arī sniedza sekojošu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r w:rsidR="00000000" w:rsidRPr="00000000" w:rsidDel="00000000">
              <w:rPr>
                <w:rtl w:val="0"/>
              </w:rPr>
              <w:t xml:space="preserve"> Lūdzam koriģēt informāciju: </w:t>
            </w:r>
            <w:r w:rsidR="00000000" w:rsidRPr="00000000" w:rsidDel="00000000">
              <w:rPr>
                <w:b w:val="1"/>
                <w:rtl w:val="0"/>
              </w:rPr>
              <w:t xml:space="preserve">Valmieras novada pašvaldība ir ieinteresēta projekta ieviešanā</w:t>
            </w:r>
            <w:r w:rsidR="00000000" w:rsidRPr="00000000" w:rsidDel="00000000">
              <w:rPr>
                <w:rtl w:val="0"/>
              </w:rPr>
              <w:t xml:space="preserve">, bet ierobežotā finansējuma dēļ valstpilsētas netiek iesaistītas aptaujā. Valmieras novada pašvaldība telefoniski apliecināja, </w:t>
            </w:r>
            <w:r w:rsidR="00000000" w:rsidRPr="00000000" w:rsidDel="00000000">
              <w:rPr>
                <w:b w:val="1"/>
                <w:rtl w:val="0"/>
              </w:rPr>
              <w:t xml:space="preserve">ka IR ieinteresēta projekta ieviešanā un sniedza sekojošu infomrāciju.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Aktuāli. Ir interese par projektu iesniegumu 2. kārtu, individuālajām ģimenes ārstu praksēm Valmieras valstspilsētā.  Valmieras novada pašvaldība ir ieinteresēta kopprakšu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Valmieras novada pašvaldība saredz, ka jaunajiem ģimenes ārstiem, kuru vidū ir arī bijušie Vidzemes slimnīcas rezidenti, ir interese par prakses izveides iespējām Valmieras valstspilsētā. Kopprakses izveide sniegtu iespēju izveidot alternatīvu novada teritorijā  trūkstošajām ģimenes ārstu prakses vietām.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noteikumu projekta anotācijā ir minēts, ka Valmieras novada pašvaldībai ir interese par projektu iesniegumu 2. kārtu, kuras ietvaros atbalsts paredzēts individuālajām ģimenes ārstu praksēm.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skaidrojumam, ka šobrīd ir izstrādāts un pirmreizējā saskaņošanā TAP portālā atrodas MK noteikumu projekts “Eiropas Savienības kohēzijas politikas programmas 2021. – 2027. gadam 4.1.1. specifiskā atbalsta mērķa "Nodrošināt vienlīdzīgu piekļuvi veselības aprūpei un stiprināt veselības sistēmu, tostarp primārās veselības aprūpes noturību" 4.1.1.3. pasākuma “Primārās veselības aprūpes lomas stiprināšana, attīstot infrastruktūru” otrās atlases kārtas īstenošanas noteikumi” (turpmāk –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šī pasākuma ietvaros finansējuma saņēmēji būs rezidenti, kuri apgūst ģimenes (vispārējās prakses) ārsta specialitāti un pēc projekta pabeigšanas plāno sniegt valsts apmaksātos ģimenes ārsta pakalpojumus un sertificēti ģimenes ārsti, kuri uz projekta iesniegšanas brīdi nesniedz valsts apmaksātos ģimenes ārsta pakalpojumus un kuriem nav reģistrēto pacientu, bet kuri pēc projekta pabeigšanas plāno sniegt valsts apmaksātos ģimenes ārsta pakalpojumus, kā arī ārstniecības iestādes (t.sk. ģimenes ārsta prakse), kas sniedz valsts apmaksātos ģimenes ārsta pakalpojumus un/vai nodrošina telpas vai telpas un aprīkojumu valsts apmaksāto ģimenes ārsta pakalpojumu sniegšanai un pašvaldības vai pašvaldības iestādes, kas nodrošina telpas vai telpas un aprīkojumu valsts apmaksāto ģimenes ārsta pakalpojumu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tiks atbalstīti tikai tādi projekti, kas paredz jaunu ģimenes ārstu prakšu izveidi, kā arī esošo ģimenes ārstu prakšu attīstību, paplašinot telpas vai mainot adresi ģimenes ārsta darbības pamatteritorijā, pielāgojot telpas pēc lielo prakšu sadalīšanas, vai plānojot telpas pielāgošanu vides piekļūstamības personām ar funkcionāliem traucējumiem nodrošināšanai atbilstoši normatīvajiem aktiem par obligātajām prasībām ārstniecības iestādēm un to struktūrvienībām.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kā projekta iesniedzējs ir plānots sertificēts ģimenes ārsts, kurš uz projekta iesniegšanas brīdi nesniedz valsts apmaksātos ģimenes ārsta pakalpojumus un kuram nav reģistrēto pacientu, tad pasākuma ietvaros būs atbalstāmas tādas darbības kā: projekta vadības nodrošināšana; būvniecība (t.sk. būvniecības ieceres dokumentācijas izstrādes izmaksas); tehnoloģiju iegāde, piegāde un montāža (t.sk. medicīniskās tehnoloģijas, iekārtas, ierīces, mēbeles, un aprīkojums, informācijas tehnoloģiju aprīkojums).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plānots, ka projekta maksimālā attiecināmo izmaksu kopsumma uz vienu attīstāmo ģimenes ārsta praksi sastādīs 30 000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lūdzam ņemt vērā, ka Ministru kabineta noteikumu saskaņošanas procesā var mainīties kādi no norādītajiem atbalsta saņemšanas nosacījumiem. Plānojas, ka šie noteikumi varētu tikt apstiprināti 2024.gada beigās, bet pirmā projektu iesniegumu atlase varētu tikt izsludināta 2025.gada 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TAP portālā: https://tapportals.mk.gov.lv/legal_acts/7c7dfae8-4c33-4ee1-9972-fa1b448b4fdb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iesnieguma vērtēšanas kritēriji: https://www.esfondi.lv/profesionaliem/uzraudzibas-komiteja/uk-e-portfelis-2021-2027/2024-09-30-uk-rakstiska-procedura-vm_4113_2-k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anotācijas 1.3. sadaļā "Pašreizējā situācija, problēmas un risinājumi" vārdus "darbības programmas" ar vārdiem un skaitļiem "Eiropas Savienības kohēzijas politikas programmas 2021.–2027. gadam ". Norādām, ka Eiropas Savienības fondu 2021.–2027. gada plānošanas periodā ir Eiropas Savienības kohēzijas politikas programma 2021.–2027. gadam, un netiek lietots jēdziens “darbības programma”.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"Pašreizējā situācija, problēmas un risinājumi" ar informāciju, par sinerģiju, papildinātību ar Eiropas Savienības un citiem atbalsta instrumentiem, piemēram, Atveseļošanas un noturības mehānisma investīcijām vai Eiropas Savienības struktūrfondu un Kohēzijas fonda 2014.-2020.gada plānošanas perioda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25.punktu, ja uz projekta iesnieguma iesniegšanas brīdi projekta iesniedzējs nav nodrošinājis šo noteikumu 24.punktā un / vai 48.10.apakšpunktā minēto prasību, tad projekta iesniegumam pievieno dokumentāciju, kas apliecina noteikto prasību izpildi ne vēlāk kā līdz projekta pabeigšanai. Savukārt noteikumu 24.punktā noteikts, ka lai nodrošinātu šo noteikumu 13.punktā noteikto prasību, šo noteikumu 22.1.apakšpunktā minētais finansējuma saņēmējs sadarbības partneru statusā obligāti piesaista sadarbības partnerus, kas sniedz valsts apmaksātos primārās un / vai sekundārās veselības aprūpes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un anotācijā sniegt skaidrojumu, kā tiek noteikts komercdarbības atbalsta noteikšanas mehānisms, gadījumā, ja uz projekta iesniegšanas brīdi netiks piesaistīti visi 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25.punkts dzēsts un attiecīgi minētā prasība par trīs un vairāk ģimenes ārstu prakšu piesaisti būs jānodrošina pirms projekta uzsākšanas.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13. un 24.punktā minēto, ka projekta iesniedzējs sadarbības partneru statusā pasākumā var piesaistīt ārstniecības iestādes, kas nodrošina valsts apmaksātus primārās un sekundārās veselības aprūpes pakalpojumus, lūdzam papildināt  anotāciju, sniedzot skaidrojumu vai abu projektu ievaros var attīstīt infrastruktūru, kur tiek sniegti sekundārās veselības aprūpes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13. un 24.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par pārkompensācijas kontroli - kā sadarbības iestāde pārbaudīs noteikumu projekta 15. punktā noteikto pienākumu finansējuma saņēmējam un sadarbības partnerim iesniegt pilnvarojuma uzlicēja apliecinājumu, proti, kam jābūt norādītam pilnvarojuma aktā un kā praksē jānodrošina pārkompensācijas kontrole,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“Pārkompensācijas uzraudzību veic pilnvarojuma uzlicējs un, lai pilnvarojuma uzlicējs varētu kvalitatīvi novērst pārkompensācijas riskus un izpildīt pienākumu par pārkompensācijas uzraudzību, pilnvarojuma aktā ir iekļauts nosacījums, ka pilvarojuma uzlicējs veic regulāras pārbaudes vai nodrošina, ka tās tiek veiktas, vismaz ik pēc trīs gadiem sabiedrisko pakalpojumu līguma darbības laikā un tā beigās, pamatojoties uz normatīvajiem aktiem, kas nosaka atlīdzības maksājumu/kompensāciju aprēķināšanas un piešķiršanas kārtību, kritērijus un nosacījumus, kā arī pārkompensācijas kontroles kārtību. Minētais pārkompensācijas uzraudzības mehānisms tiek izvērtēts projekta iesnieguma vērtēšanas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punktu “Cita informācija”, aiz vārda “līdzfinansējums” papildinot ar vārdiem “un Eiropas Reģionālās attīstības fonda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aicina iepazīties ar Ministru kabineta 2024.gada 15.oktobra noteikumiem Nr. 639 "Sabiedrības līdzdalības kārtība attīstības plānošanas procesā". Norādām, ka saskaņā ar minēto noteikumu 4.punktu sabiedrības līdzdalība jānodrošina arī tiesību aktu projektu izstrādes procesā, bet ja tas netiek darīts, jāsniedz skaidrojums anotācijā. Lūdzam novērst neprecizitātes Veselības ministrijas sniegtajā skaidrojumā.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sagatavots, lai izpildītu ar Ministru kabineta 2022. gada 26.maija rīkojumu Nr. 359 "Sabiedrības veselības pamatnostādnes 2021. – 2027. gadam" apstiprināto Sabiedrības veselības pamatnostādņu 2021. – 2027. gadam uzdevumu “3.2.1. Stiprināt primāro veselības aprūpi, uzlabot tās kvalitāti un pieejamību” un nodrošinātu 2024. gada 21. maijā Ministru kabinetā apstiprinātajā informatīvajā ziņojumā “Informatīvais ziņojums “Par primārās veselības aprūpes stiprināšanu” (PVA ziņojums) iekļauto pamatprincipu ieviešanu un to, ka iepriekšminēto dokumentu izstrādes procesā tika apspriesta šī pasākuma nepieciešamība, gan nododot dokumentu projektus publiskā apspriešanā (sabiedrības līdzdalības organizēšana), gan organizējot pacientu un ģimenes ārstu diskusiju domnīcas, kuru laikā tika noskaidrota sabiedrības nostāja par primārās veselības aprūpes pakalpojumu īstenošanu, papildus sabiedrības līdzdalības organizēšana šim pasākumam netiks veikta. Iepriekšminēto domnīcu rezultātā tika identificētas gan pacientu, gan ģimenes ārstu galvenās vajadzības pilnvērtīga PVA pakalpojuma nodrošināšanai (ģimenes ārstiem) vai saņemšanai (pacientam), plānotie risinājumi turpmāko trīs gadu laikā, kā arī sagaidāmie rezultāti pie secīgas pasākumu ieviešanas. Pasākuma pirmās kārtas projektu iesniegumu vērtēšanas kritēriji 2024. gada 25. jūlijā tika apstiprināti ES kohēzijas politikas fondu 2021. -2027. gada plānošanas perioda Apakškomitejas sēdē. Iesniegts apstiprināšanai Eiropas Savienības kohēzijas politikas fondu 2021. - 2027. gada plānošanas perioda Uzraudzības komitejas sēdē. Pamatojoties uz Ministru kabineta 2024. gada 15. oktobra noteikumu Nr. 639 "Sabiedrības līdzdalības kārtība attīstības plānošanas procesā" 4. punktu un to, ka MK noteikumu projekts nemaina esošo regulējumu un neparedz ieviest jaunas politiskās iniciatīvas, sabiedrības līdzdalība tika nodrošināta ar Ministru kabineta 2022. gada 26.maija rīkojumu Nr. 359 "Sabiedrības veselības pamatnostādnes 2021. – 2027. gadam" apstiprināto Sabiedrības veselības pamatnostādņu 2021. – 2027. gadam un Eiropas Savienības kohēzijas politikas programmas 2021. – 2027. gadam skaņošanas procesā un ES fondu un ES fondu apakškomitejā.  Priekšlikumu un viedokļu sniegšanai tiesību akta projekts tika nodots nevalstiskajām organizācijām, t.sk. Latvijas Pašvaldību savienībai un Latvijas Lielo pilsētu asociācijai. Latvijas Lielo pilsētu asociācija sniedza atzinumu, izsakot vienu iebildumu un vienu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24-TA-2625</w:t>
    </w:r>
    <w:r>
      <w:br/>
    </w:r>
    <w:r w:rsidR="00000000" w:rsidRPr="00000000" w:rsidDel="00000000">
      <w:rPr>
        <w:rtl w:val="0"/>
      </w:rPr>
      <w:t xml:space="preserve">24.01.2025. 12.51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24-TA-2625</w:t>
    </w:r>
    <w:r>
      <w:br/>
    </w:r>
    <w:r w:rsidR="00000000" w:rsidRPr="00000000" w:rsidDel="00000000">
      <w:rPr>
        <w:rtl w:val="0"/>
      </w:rPr>
      <w:t xml:space="preserve">24.01.2025. 12.51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Izziņa_24-TA-2625.docx</dc:title>
</cp:coreProperties>
</file>

<file path=docProps/custom.xml><?xml version="1.0" encoding="utf-8"?>
<Properties xmlns="http://schemas.openxmlformats.org/officeDocument/2006/custom-properties" xmlns:vt="http://schemas.openxmlformats.org/officeDocument/2006/docPropsVTypes"/>
</file>