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22-TA-2580: Informatīvais ziņojums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Partnerības līgumu Eiropas Savienības investīciju fondu 2021.– 2027. gada plānošanas periodam </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Partnerības līgums Eiropas Savienības investīciju fondu 2021.–2027. gada plānošanas periodam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(EM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precizēt Partnerības līguma 7.paragrāfā minētā rādītāja "mājokļi, kuros dzīvo enerģētikas nabadzības riskam pakļautas personas" vērtību no 1 512 uz 2 017. Precizējumu ir nepieciešams veikt, lai saskaņotu Partnerības līgumu ar Eiropas Savienības kohēzijas politikas programmu 2021.–2027.gadam. Par Kohēzijas politikas programmu ir saņemts Eiropas Komisijas komentārs Nr.33, kurā lūgts noteikt šī rādītāja vērtību 2 017. Attiecīgi tiks veikts precizējums Kohēzijas politikas programmā un līdz ar to ir jāveic arī identisks precizējums Parterības līgumā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(t.sk. 2 017 mājokļi, kuros dzīvo enerģētikas nabadzības riskam pakļautas personas)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Partnerības līgums Eiropas Savienības investīciju fondu 2021.–2027. gada plānošanas periodam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(EM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Eiropas Komisijas komentārus par Darbības programmu 2021.-2027.g. plānošanas periodā, tiks precizēti sasniedzamie rādītāji (saskaņots, ka Ekonomikas ministrija iesniegs precizējumus š.g. 6.septembrī). Attiecīgi veiktajiem precizējumiem, lūdzu ņemt vērā un precizēt sasniedzamos rādītājus Partnerības līguma 2. sadaļā "Politikas risinājumi, koordinācija un papildinātība" (6) paragrāfā.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Partnerības līgums Eiropas Savienības investīciju fondu 2021.–2027. gada plānošanas periodam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(ZM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precizēt "Partnerības līgums Eiropas Savienības investīciju fondu 2021.–2027. gada plānošanas periodam" (21) punkta redakciju un papildināt, ka KLP stratēģiskais plāns ir izstrādāts 2023. - 2027.gadam.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Arī (7) punkta pēdējā teikumā/rindā precizēt, ka runa ir par KLP stratēģisko plānu 2023. - 2027.gadam.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Lai veicinātu KLP mērķu sasniegšanu tika izstrādā</w:t>
            </w:r>
            <w:r w:rsidR="00000000" w:rsidRPr="00000000" w:rsidDel="00000000">
              <w:rPr>
                <w:b w:val="1"/>
                <w:u w:val="single"/>
                <w:rtl w:val="0"/>
              </w:rPr>
              <w:t xml:space="preserve">t</w:t>
            </w:r>
            <w:r w:rsidR="00000000" w:rsidRPr="00000000" w:rsidDel="00000000">
              <w:rPr>
                <w:rtl w:val="0"/>
              </w:rPr>
              <w:t xml:space="preserve">s politikas plānošanas dokuments – KLP stratēģiskais plāns </w:t>
            </w:r>
            <w:r w:rsidR="00000000" w:rsidRPr="00000000" w:rsidDel="00000000">
              <w:rPr>
                <w:b w:val="1"/>
                <w:rtl w:val="0"/>
              </w:rPr>
              <w:t xml:space="preserve">2023 – 2027.gadam</w:t>
            </w:r>
            <w:r w:rsidR="00000000" w:rsidRPr="00000000" w:rsidDel="00000000">
              <w:rPr>
                <w:b w:val="1"/>
                <w:vertAlign w:val="superscript"/>
                <w:rtl w:val="0"/>
              </w:rPr>
              <w:t xml:space="preserve"> </w:t>
            </w:r>
            <w:r w:rsidR="00000000" w:rsidRPr="00000000" w:rsidDel="00000000">
              <w:rPr>
                <w:vertAlign w:val="superscript"/>
                <w:rtl w:val="0"/>
              </w:rPr>
              <w:t xml:space="preserve">[17],</w:t>
            </w:r>
            <w:r w:rsidR="00000000" w:rsidRPr="00000000" w:rsidDel="00000000">
              <w:rPr>
                <w:rtl w:val="0"/>
              </w:rPr>
              <w:t xml:space="preserve"> kurā noteikts, ka būtiski ir radīt labvēlīgu vidi Latvijas lauku apvidiem, jo tiem ir daudzfunkcionāla nozīme.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Lauku apvidi ir nozīmīgi</w:t>
            </w:r>
            <w:r w:rsidR="00000000" w:rsidRPr="00000000" w:rsidDel="00000000">
              <w:rPr>
                <w:b w:val="1"/>
                <w:strike w:val="1"/>
                <w:rtl w:val="0"/>
              </w:rPr>
              <w:t xml:space="preserve"> priekš </w:t>
            </w:r>
            <w:r w:rsidR="00000000" w:rsidRPr="00000000" w:rsidDel="00000000">
              <w:rPr>
                <w:rtl w:val="0"/>
              </w:rPr>
              <w:t xml:space="preserve">pārtikas ražošanas, kā arī dabas resursu ilgtspējīgai saglabāšanai, atpūtai un dzīvojamai telpai. Attiecībā uz pasākumu ieviešanu saistībā ar vietējām attīstības stratēģijām ir plānots izmantot “LEADER” pieeju. Intervences mērķis ir sniegt atbalstu vietējās attīstības iniciatīvām, kas veicina lauku kopienu ilgtspēju, kuras atbilst KLP stratēģiskajam plānam </w:t>
            </w:r>
            <w:r w:rsidR="00000000" w:rsidRPr="00000000" w:rsidDel="00000000">
              <w:rPr>
                <w:b w:val="1"/>
                <w:rtl w:val="0"/>
              </w:rPr>
              <w:t xml:space="preserve">2023 – 2027.gadam </w:t>
            </w:r>
            <w:r w:rsidR="00000000" w:rsidRPr="00000000" w:rsidDel="00000000">
              <w:rPr>
                <w:rtl w:val="0"/>
              </w:rPr>
              <w:t xml:space="preserve">un ir iekļautas vietējo rīcības grupu vietējās attīstības stratēģijās, kā arī uzlabot ekonomisko un sociālo situāciju lauku apvidos, radīt labvēlīgu vidi dzīvošanai, uzņēmējdarbībai un lauku apvidu attīstībai, kā arī veicināt vietējās attīstības potenciālu un resursu ilgtspējīgu izmantošanu, tādejādi atbalstot EK 2021. gada 30.jūnijā publicēto ilgtermiņa  vīziju ES lauku apvidiem “Kāds ceļš ejams, lai līdz 2040. gadam lauku apvidi kļūtu spēcīgāki, savienoti, izturētspējīgi un pārtikuši”</w:t>
            </w:r>
            <w:r w:rsidR="00000000" w:rsidRPr="00000000" w:rsidDel="00000000">
              <w:rPr>
                <w:vertAlign w:val="superscript"/>
                <w:rtl w:val="0"/>
              </w:rPr>
              <w:t xml:space="preserve">[18]</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Partnerības līgums Eiropas Savienības investīciju fondu 2021.–2027. gada plānošanas periodam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precizēt Partnerības līguma 19.lp. norādītos statistiskos datus.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Latvijas ieslodzījuma vietās Latvijā 2022. gada 29.augustā atradās 3153 ieslodzītie, savukārt probācijas klientu skaits 2021. gadā bija 16 391".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Partnerības līgums Eiropas Savienības investīciju fondu 2021.–2027. gada plānošanas periodam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(VARAM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Partnerības līguma 63.rindkopas pēdējo teikumu. Precizējums ierosināts, ievērojot Vides aizsardzības un reģionālās attīstības ministrijas sagatavotā un Ministru kabineta 2022.gada 30.augusta sēdē apstiprinātā Ministru kabineta noteikumu projekta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 (22-TA-339) 11.3.apakšpunktā noteikto mērķi, kas paredz “vismaz” četru nacionālo industriālo parku un teritoriju būvniecību reģionos, jo investīcijai pieejamais finansējums pieļauj iespēju izveidot 4-8 nacionālas nozīmes industriālos parkus. Vienlaikus precizējums veikts, ievērojot iepriekš minētā noteikumu projekta 13.punktu, kas paredz ne tikai starptautiski atzītu industriālo parku operatoru piesaisti, bet arī komersantu kā potenciālo nomnieku vai komersantu, kas darbojas projekta ietvaros attīstītajā industriālā parka teritorijā, lomu investīcijas mērķu sasniegšanā. Vienlaikus skaidrojam, ka, ievērojot investīcijas noteikumu projekta saskaņošanas laikā panākto vienošanos, saskaņā ar iepriekš minētā noteikumu projekta anotācijā norādīto, Latvijas Investīciju un attīstības aģentūra nepieciešamības gadījumā sniedz atbalstu komersantiem industriālā parka attīstības stratēģijas sagatavošanā un projekta sasniedzamo mērķu un rādītāju noteikšanā un sasniegšanā, potenciālo industriālās teritorijas vai ēku nomnieku piesaistei un nodomu protokola vai sadarbības līguma parakstīšanai ar starptautiski atzītu industriālā parka operatoru.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AF ietvaros reģionos (ārpus Rīgas reģiona) plānots īstenot daudz lielākus investīciju projektus un attīstīt vismaz 4 nacionālas nozīmes industriālos parkus, lai piesaistītu starptautiski atzītus operatorus, komersantus vai potenciālos nomniekus, kas darbojas nozarēs ar augstu pievienotās vērtības potenciālu, lai attīstītu inovatīvus un augstas pievienotās vērtības produktus viedās specializācijas jomās u.tml.</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Partnerības līgums Eiropas Savienības investīciju fondu 2021.–2027. gada plānošanas periodam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(EM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precizēt 18.paragrāfā teikumu "Sociālie mājokļi 2016. gadā veidoja tikai 0,4 % no sociālo mājokļu fonda salīdzinājumā ar vidējo rādītāju ES – 8 %", vārdus "no sociālo mājokļu fonda" aizvietojot ar vārdiem "no kopējā mājokļu fonda".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Partnerības līgums Eiropas Savienības investīciju fondu 2021.–2027. gada plānošanas periodam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(LPS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Nacionālā attīstības plāna rīcības virzienā “Zinātne sabiedrības attīstībai, tautsaimniecības izaugsmei un drošībai” ir minēti ka Latvijas mērķi P&amp;A jomā ir attiecināmi uz valsts un pašvaldību kapitālsabiedrībām, bet finansējums šim neseko.  LPS piedāvājums būtu  par iespējām attīstīt inovāciju iepirkumu pašvaldībās un pašvaldību kapitālsabiedrībās. Zaļā kursa mērķu jautājumā, vēlamies uzsvērt, ka pašvaldības un pašvaldību kapitālsabiedrības var veicināt tautsaimniecības attīstību. Ņemot vērā ka pašvaldību kapitālsabiedrībām jādod iespējami labākais savu aktīvu pārvaldības modelis un jānodrošina pieejami un augstas kvalitātes pakalpojumi (neaizmirstot par to ka ATR radīs nomales efektu un ir nepieciešams to samazināt un domāt par tarifiem). Zaļais  kurss var radīt arī jaunus pakalpojumus, bet pašvaldību kapitālsabiedrības ir ierobežotas savā darbībā, jo jaunu produktu un pakalpojumu attīstīšanā ir nepieciešams ne tikai finansējums, bet arī jebkura rīcība jāvērtē caur Valsts pārvaldes iekārtas likuma (VPIL) 88.pantu un konkurences kropļojošanu. Konkurences ieskatā ir uzstādījums vērtēt  tirgus segmenta piesātinātību un pašvaldību kapitālsabiedrību ietekmi tirgū, līdzīgu produktu/pakalpojumu esamību, kas daudzos gadījumos noved pie importa un nevis pie savas industrijas attīstības.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Partnerības līguma uzdevums ir aptvert ļoti koncentrētu informācijas apkopojumu no vairākām investīciju fondu programmām par plānoto investīciju finansējuma sadalījumu un atbalsta savstarpējo koordināciju, skaidrojam, ka inovāciju iepirkumu piemērošana un attīstība pašvaldībās un pašvaldību kapitālsabiedrībās ir vērtējama secīgi, ES fondu īstenošanā iesaistītajām atbildīgajām nozaru ministrijām izstrādājot specifisko atbalsta mērķu (turpmāk – SAM) ieviešanas regulējumu – proti, izstrādājot gan projektu iesniegumu vērtēšanas kritērijus, gan nosakot prasības MK noteikumos par attiecīgo SAM īstenošanu.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22-TA-2580</w:t>
    </w:r>
    <w:r>
      <w:br/>
    </w:r>
    <w:r w:rsidR="00000000" w:rsidRPr="00000000" w:rsidDel="00000000">
      <w:rPr>
        <w:rtl w:val="0"/>
      </w:rPr>
      <w:t xml:space="preserve">15.09.2022. 16.29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22-TA-2580</w:t>
    </w:r>
    <w:r>
      <w:br/>
    </w:r>
    <w:r w:rsidR="00000000" w:rsidRPr="00000000" w:rsidDel="00000000">
      <w:rPr>
        <w:rtl w:val="0"/>
      </w:rPr>
      <w:t xml:space="preserve">15.09.2022. 16.29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Izziņa_22-TA-2580.docx</dc:title>
</cp:coreProperties>
</file>

<file path=docProps/custom.xml><?xml version="1.0" encoding="utf-8"?>
<Properties xmlns="http://schemas.openxmlformats.org/officeDocument/2006/custom-properties" xmlns:vt="http://schemas.openxmlformats.org/officeDocument/2006/docPropsVTypes"/>
</file>