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administrē un uzrauga Eiropas Jūrlietu, zvejniecības un akvakultūras fondu, kā arī valsts atbalstu zvejniecības un akvakultūras attīstībai 2021.–2027.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Neatkarīga eksperta pienākumus Rīcības programmas zivsaimniecības attīstībai 2021.-2027. gadam (turpmāk – Programma) izvērtēšanai saskaņā ar </w:t>
            </w:r>
            <w:r w:rsidR="00000000" w:rsidRPr="00000000" w:rsidDel="00000000">
              <w:rPr>
                <w:rtl w:val="0"/>
              </w:rPr>
              <w:t xml:space="preserve">regulas Nr. 2021/1060</w:t>
            </w:r>
            <w:r w:rsidR="00000000" w:rsidRPr="00000000" w:rsidDel="00000000">
              <w:rPr>
                <w:rtl w:val="0"/>
              </w:rPr>
              <w:t xml:space="preserve"> 44. panta 3. punktu veic Agroresursu un ekonomikas institūts.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Agroresursu un ekonomikas institūtam deleģēts pildīt regulas Nr. 2021/1060 44. panta 3. punktā minētā neatkarīgā eksperta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noteikumu projekta 8.punktā sabiedrības ar ierobežotu atbildību "Latvijas Lauku konsultāciju un izglītības centrs" Valsts Zivsaimniecības sadarbības tīklam deleģēts veikt "Regulas Nr. 2021/1060 36. panta 1. punktā minētās darbības - sociālo partneru spēju veidošana, sagatavošana, apmācība, redzamība un komunikācija".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sniegto informāciju, minētie tiesību subjekti līdzvērtīgas darbības veikuši Eiropas Jūrlietu un zivsaimniecības fonda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iepriekšējā plānošanas perioda vadības noteikumos - </w:t>
            </w:r>
            <w:r w:rsidR="00000000" w:rsidRPr="00000000" w:rsidDel="00000000">
              <w:rPr>
                <w:i w:val="1"/>
                <w:rtl w:val="0"/>
              </w:rPr>
              <w:t xml:space="preserve">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r w:rsidR="00000000" w:rsidRPr="00000000" w:rsidDel="00000000">
              <w:rPr>
                <w:rtl w:val="0"/>
              </w:rPr>
              <w:t xml:space="preserve">, kā arī </w:t>
            </w:r>
            <w:r w:rsidR="00000000" w:rsidRPr="00000000" w:rsidDel="00000000">
              <w:rPr>
                <w:i w:val="1"/>
                <w:rtl w:val="0"/>
              </w:rPr>
              <w:t xml:space="preserve">Ministru kabineta 2014. gada 30. septembra noteikumos Nr.</w:t>
            </w:r>
            <w:r w:rsidR="00000000" w:rsidRPr="00000000" w:rsidDel="00000000">
              <w:rPr>
                <w:rtl w:val="0"/>
              </w:rPr>
              <w:t xml:space="preserve"> </w:t>
            </w:r>
            <w:r w:rsidR="00000000" w:rsidRPr="00000000" w:rsidDel="00000000">
              <w:rPr>
                <w:i w:val="1"/>
                <w:rtl w:val="0"/>
              </w:rPr>
              <w:t xml:space="preserve">598 "Noteikumi par valsts un Eiropas Savienības atbalsta piešķiršanu, administrēšanu un uzraudzību lauku un zivsaimniecības attīstībai 2014.–2020.gada plānošanas periodā, kā arī pārejas laikā 2021. un 2022. gadā" </w:t>
            </w:r>
            <w:r w:rsidR="00000000" w:rsidRPr="00000000" w:rsidDel="00000000">
              <w:rPr>
                <w:rtl w:val="0"/>
              </w:rPr>
              <w:t xml:space="preserve">minētajiem subjektiem šādi uzdevumi nav deleģēti. Ievērojot minēto, kā arī ievērojot Valsts pārvaldes iekārtas likuma 40.panta pirmajā daļā un 42.pantā noteikto, lūdzam papildināt noteikumu projekta anotāciju ar informāciju, kāpēc noteikumu projekta 7. un 8.punktā minēto uzdevumu veikšanai izvēlēti konkrētie subjekti, nevis, piemēram, noteikta uzdevumu veicēju izvēle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Eiropas Savienības atbalsta zivsaimniecības attīstībai ietekmes vienotās un nepārtrauktās novērtēšanas sistēmas uzturēšanu nodrošina Agroresursu un ekonomikas institūts.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finansējumu un valsts budžeta finansējumu, ja tas ir paredzēts projekta iesniegumā, Valsts kase triju darbdienu laikā pēc Lauku atbalsta dienesta maksājuma uzdevuma saņemšanas pārskaita bezskaidras naudas norēķinu veidā uz atbalsta saņēmēja vai viņa pilnvarota pārstāvja bankas kontu, vai arī to pārskaita valsts budžeta ieņēmumos, ja atbalsta saņēmējs ir valsts budžeta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rīkojumus eKasē  iesniedz Lauku atbalsta dienests, un Valsts kase tos izpilda atbilstoši kārtībai, kādā Valsts kase nodrošina maksājumu pakalpojumu sniegšanu (protams, bezskaidras naudas norēķinu veidā) un uzsvērt to šajā noteikumu projektā nav nepieciešams. Vienlaicīgi norādām, ka nav saprotams 20.punktā noteiktais, ka Lauku atbalsta dienests finansējumu pārskaita valsts budžeta ieņēmumos, ja atbalsta saņēmējs ir valsts budžeta iestāde. Lūdzam  precizēt 20.punkta redakciju un skaidrojumu sniegt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finansējumu un valsts budžeta finansējumu, ja tas ir paredzēts projekta iesniegumā, Lauku atbalsta dienests pārskaita uz atbalsta saņēmēja vai viņa pilnvarota pārstāvja kontu kredītiestādē. Lauku atbalsta dienests ir atbildīgs par saņemto atmaksu pārskaitīšanu valsts budžeta ieņēmumos.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noteikumu projekta 20. punkta redakcija, kā arī Anotācijā ir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finansējumu un valsts budžeta līdzfinansējumu, ja tas ir paredzēts projekta iesniegumā, Lauku atbalsta dienests pārskaita uz atbalsta saņēmēja vai viņa pilnvarota pārstāvja kontu kredītiestādē vai arī valsts budžeta ieņēmumos, ja atbalsta saņēmējs ir valsts budžeta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Lēmumu par asignējumu apturēšanu, atjaunošanu vai atsaukšanu atbalsta saņēmēju kontos Valsts kasē pieņem Lauku atbalsta dienests atbilstoši normatīvajiem aktiem par asignējumu apturēšanu, atjaunošanu vai atsaukšanu, kā arī tad, ja pret atbalsta saņēmēju ir sākts maksātnespējas process, konstatēts atbalsta saņēmēja pienākumu vai apliecinājumu pārkāpums un ja Valsts kasē nav pieejami finanšu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21.punktā atsauci uz normatīvo aktu, jo valsts budžeta iestādēm darbības saistībā ar asignējumu apturēšanu, atjaunošanu vai atsaukšanu nosaka Ministru kabineta 28.12.2010. noteikumi Nr.1220 “Asignējumu piešķiršanas un izpildes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arī 21.punktā teiktais “ja Valsts kasē nav pieejami finanšu resursi”. Atbilstoši noteikumu projekta autoru telefoniski sniegtajam skaidrojumam ar to domāts, ka varētu būt gadījumi, kad sākotnēji piešķirtās apropriācijas ietvaros nevar veikt maksājumus, jo nepieciešama apropriācijas pārdale starp budžeta izdevumu kodiem atbilstoši ekonomiskajām kategorijām. Lūdzam atbilstoši precizēt 21.punkta redakciju un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noteikumu projekta 21. punkta redakcija ir sadalīta divās daļās, noteikumu projekta 21. punktā nosakot kārtību par valsts budžeta iestādes finansēšanas plānā paredzēto asignējumu apturēšanu, atjaunošanu vai atsaukšanu un izveidojot jaunu 22. punktu (skatīt noteikumu projektu), kurā noteiktas Lauku atbalsta dienesta tiesības aizkavēt maksājuma veikšanu atbalsta saņēmējam vai valsts budžeta ieņēmumos līdz atmaksas valsts budžetā ieplānošanai vai budžeta apropriācijas pārdalei starp programmām, apakšprogrammām un budžeta izdevumu kodiem atbilstoši ekonomiskajām kategorijām. Papildus tam Anotācijā ir sniegts arī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Lauku atbalsta dienests normatīvajos aktos par asignējumu piešķiršanu un izpildi noteiktajā kārtībā, kā arī tad, ja konstatēts atbalsta saņēmēja – valsts budžeta iestādes – pienākumu vai apliecinājumu pārkāpums, var pieņemt lēmumu par atbalsta saņēmēja – valsts budžeta iestādes – finansēšanas plānā paredzēto asignējumu apturēšanu, atjaunošanu vai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informāciju, ka valsts budžeta līdzfinansējums, kas ieplānots Zemkopības ministrijas budžetā, ietver arī finansējumu pievienotās vērtības nodokļa izmaksu segšanai, kā to paredz informatīvais ziņojums "Par Rīcības programmu zivsaimniecības attīstībai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ir papildināts ar informāciju, ka valsts budžeta līdzfinansējums, ietver arī finansējumu pievienotās vērtības nodokļa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informāciju, ka 2025.gadā finansējums tiks pieprasīts ar Zemkopības ministrijas priekšlikumu bāzes izdevumu 2023., 2024. un 2025. gadam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ir papildināts ar informāciju, ka 2025. gadā finansējums tiks pieprasīts ar Zemkopības ministrijas priekšlikumu bāzes izdevumu 2023., 2024. un 2025. gadam precizējumiem.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TAP anotācijas sadaļu "8.horizontālās ietekmes" atbilstoši TAP anotācijas vadlīnijām[1] , anotācijas sadaļā 8.1. “Projekta tiesiskā regulējuma ietekme” TAP sniedzot informāciju par TAP ietekmi uz horizontālajiem aspektiem, tostarp, sociālo ietekmi, ietekmi uz dzimumu līdztiesību,  personu ar invaliditāti vienlīdzīgām iespējām un tiesībām, cilvēktiesībām (8.1.8., 8.1.9.,8.1.10.,8.1.12., 8.2. sadaļas).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informāciju par to, vai Eiropas Jūrlietu, zvejniecības un akvakultūras fonda īstenošanā ir paredzēta uzraudzības mehānisma izveide un veids, kā tiks gūta pārliecība attiecībā uz Regulas 2021/1060 [2] 9.panta 1., 2. un 3. punktā noteikto horizontālo principu ievērošanu, kas paredz programmu sagatavošanas, īstenošanas uzraudzības, ziņošanas un novērtēšanas laikā novērst jebkādu diskrimināciju dzimuma, rases vai etniskās izcelsmes, ticības vai pārliecības, invaliditātes, vecuma vai seksuālās orientācijas dēļ,  jo īpaši ņemot vērā piekļūstamības nodrošināšanu personām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tiesību akta projekta sākotnējās ietekmes novērtēšanai un novērtējuma ziņojuma sagatavošanai (https://tai.mk.gov.lv/anotacija)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aizpildītas TAP anotācijas 8.1.8., 8.1.9.,8.1.10.,8.1.12., 8.2. sadaļas.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administrē un uzrauga Eiropas Jūrlietu, zvejniecības un akvakultūras fondu, kā arī valsts atbalstu zvejniecības un akvakultūras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attiecas uz  2021.-2027.gada Eiropas Jūrlietu, zvejniecības un akvakultūras fonda plānošanas periodu, kā arī ņemot vērā, ka atsevišķi Ministru kabineta noteikumi par Eiropas Jūrlietu, zvejniecības un akvakultūras fonda administrēšanu un uzraudzību izdoti par iepriekšējo plānošanas periodu, ierosinām papildināt noteikumu projekta nosaukumu ar norādi uz 2021. - 2027.gada plānošanas periodu, vai arī iekļaut šādu regulējumu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administrē un uzrauga Eiropas Jūrlietu, zvejniecības un akvakultūras fondu, kā arī valsts atbalstu zvejniecības un akvakultūras attīstībai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 tikai noteikumu projekta nosaukumā, bet arī 1. punktā piemērotās vietās iekļaut norādes uz plānošanas perioda termiņu (2021. – 2027. gadu) (piemēram sk. Ministru kabineta 2014.gada 30.septembra noteikumu Nr.599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Uzraudzības komitejas sastāvā 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uzraudzības komitejas sastāvā iekļaut Tieslietu ministrijas, kas ir atbildīga par Regulas 2021/1060 [1] 9.panta 1.daļā noteikto pamattiesību ievērošanu un atbilstību Eiropas Savienības Pamattiesību hartai, pārstāvi kā  Labklājības ministrijas uzraudzības komitejas locekļa aizvietotāju.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ietvaros Labklājības ministrija  ir atbildīga un Tieslietu ministrija ir līdzatbildīga par horizontālā  principa “Vienlīdzība, iekļaušana, nediskriminācija un pamattiesību ievērošana” (regulas Nr.2021/1060 9. panta 1., 2. un 3. daļa) koordinēšanu, līdz ar to būtu vienlīdzīgi iesaistāma uzraudzības komitejas sastāvā.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nosaka, ka uzraudzības komiteja darbojas atbilstoši tās apstiprinātam reglamentam. Reglamentā, līdzīgi kā šobrīd spēkā esošajā Eiropas Jūrlietu un zivsaimniecības fonda 2014.-2020. plānošanas perioda uzraudzības komitejas reglamentā, tiks noteikta kārtība, kādā katra noteikumu projektā minētā institūcija tās deleģētajam balsstiesīgajam pārstāvim var nominēt arī aizvietotāju. Līdz ar to, kad Zemkopības ministrija aicinās Uzraudzības komitejas sastāvā iekļautās institūcijas deleģēt to balsstiesīgos pārstāvjus, Labklājības ministrija, vienojoties ar Tieslietu ministriju, varēs nominēt Tieslietu ministrijas pārstāvi kā Labklājības ministrijas balsstiesīgā uzraudzības komitejas locekļa aizvietotāju.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Uzraudzības komitejas sastāvā iekļauj: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divus Vides aizsardzības un reģionālās attīstības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divu Vides aizsardzības un reģionālās attīstības ministrijas pārstāvju vietā iekļaut vienu Vides aizsardzības un reģionālās attīstības ministrijas pārstāvi un vienu Dabas aizsardzības pārvaldes pārstāvi. Dabas aizsardzības pārvaldes pārstāvja dalība sekmētu veiksmīgu  Prioritāro rīcību programmas Natura 2000 tīklam Latvijā (2021-2027) realizāaciju.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 apakšpunktā minētie divi Vides aizsardzības un reģionālās attīstības ministrijas (turpmāk - VARAM) pārstāvji ir aizstāti ar vienu VARAM pārstāvi. Noteikumu projekts ir papildināts ar 12.17. apakšpunktu, kas paredz viena Dabas aizsardzības pārvaldes pārstāvja iekļaušanu Uzraudzības komitejas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Vides aizsardzības un reģionālās attīstības ministrijas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Lauku atbalsta dienests nodrošina nelikumīgi izmaksātā valsts atbalsta atgūšanu saskaņā ar </w:t>
            </w:r>
            <w:r w:rsidR="00000000" w:rsidRPr="00000000" w:rsidDel="00000000">
              <w:rPr>
                <w:rtl w:val="0"/>
              </w:rPr>
              <w:t xml:space="preserve">Komercdarbības atbalsta kontroles likuma</w:t>
            </w:r>
            <w:r w:rsidR="00000000" w:rsidRPr="00000000" w:rsidDel="00000000">
              <w:rPr>
                <w:rtl w:val="0"/>
              </w:rPr>
              <w:t xml:space="preserve">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praksē vienlaikus nevar piemērot Komercdarbības atbalsta kontroles likuma IV un V nodaļu, aicinām aizstāt saikli "un" ar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nodrošina nelikumīgi izmaksātā valsts atbalsta atgūšanu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Lauku atbalsta dienests nodrošina nelikumīgi izmaksātā valsts atbalsta atgūšanu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Labklājības ministrijas dalība uzraudzības komitejā nodrošināma saskaņā ar regulas Nr. 2021/1060 39. panta 1. daļā un 8. panta 1. daļas c) apakšpunktā noteikto - kā atbildīgā nozares ministrija par sociālo iekļaušanu, dzimumu līdztiesību un nediskrimināciju.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aprakstu, ka Labklājības ministrijas dalība uzraudzības komitejā ir nodrošināma saskaņā ar regulas Nr. 2021/1060 39. panta 1. daļā un 8. panta 1. daļas c) apakšpunktā noteikto - kā atbildīgā nozares ministrija par sociālo iekļaušanu, dzimumu līdztiesību un nediskrimināciju.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skaidrojumu par 7. un 8. punktu papildināt ar izvērstāku pamatojumu, kāpēc attiecīgās institūcijas (Agroresursu un ekonomikas institūts, sabiedrība ar ierobežotu atbildību "Latvijas Lauku konsultāciju un izglītības centrs"), ievērojot  Valsts pārvaldes iekārtas likuma 40. panta pirmo daļu, attiecīgos uzdevumus var veikt efektīvāk un kāpēc tām deleģēti šie uzdevumi, nevis izvēlēts cits veids (piemēram, izvēle konkursa ceļā). Attiecībā uz noteikumu projekta 8. punkta skaidrojumu vēršam uzmanību, ka vien fakts, ka valsts attiecīgajā kapitālsabiedrībā ir kapitāla daļu turētāja, pats par sevi nav pietiekams pamatojums attiecīgā uzdevuma deleģēšanai šai kapitālsabiedrībai (Valsts pārvaldes iekārtas likuma izpratnē - privātpersonai), proti, tāpat nepieciešams skaidrojums, kādēļ attiecīgo uzdevumu šī kapitālsabiedrība var veikt efektīvāk. Attiecīgi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21-TA-1785</w:t>
    </w:r>
    <w:r>
      <w:br/>
    </w:r>
    <w:r w:rsidR="00000000" w:rsidRPr="00000000" w:rsidDel="00000000">
      <w:rPr>
        <w:rtl w:val="0"/>
      </w:rPr>
      <w:t xml:space="preserve">26.04.2022. 12.59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21-TA-1785</w:t>
    </w:r>
    <w:r>
      <w:br/>
    </w:r>
    <w:r w:rsidR="00000000" w:rsidRPr="00000000" w:rsidDel="00000000">
      <w:rPr>
        <w:rtl w:val="0"/>
      </w:rPr>
      <w:t xml:space="preserve">26.04.2022. 12.59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Izziņa_21-TA-1785.docx</dc:title>
</cp:coreProperties>
</file>

<file path=docProps/custom.xml><?xml version="1.0" encoding="utf-8"?>
<Properties xmlns="http://schemas.openxmlformats.org/officeDocument/2006/custom-properties" xmlns:vt="http://schemas.openxmlformats.org/officeDocument/2006/docPropsVTypes"/>
</file>