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24-TA-1244: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2020. gada 10. decembra noteikumos Nr. 730 "Ekspluatējamu ēku energoefektivitātes minimālās prasības"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(16.12.2020.)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1.3. sadaļas punktā “</w:t>
            </w:r>
            <w:r w:rsidR="00000000" w:rsidRPr="00000000" w:rsidDel="00000000">
              <w:rPr>
                <w:u w:val="single"/>
                <w:rtl w:val="0"/>
              </w:rPr>
              <w:t xml:space="preserve">Attālināti nolasāmu ūdens skaitītāju ieguvumi</w:t>
            </w:r>
            <w:r w:rsidR="00000000" w:rsidRPr="00000000" w:rsidDel="00000000">
              <w:rPr>
                <w:rtl w:val="0"/>
              </w:rPr>
              <w:t xml:space="preserve">” minēts, ka “vasarā karstā ūdens izmaksas ir dārgākas, nekā ziemā.” Lūdzam izvērtēt anotācijā minēto, ņemot vērā, ka ēku karstā ūdens sistēmas faktisko siltumenerģijas (un attiecīgi izmaksu) patēriņu veido: 1) izmantotais (lietotāju notecinātais) ūdens tilpums un 2) pastāvīgi cirkulācijas zudumi cauruļvados (visa gada garumā visiem lietotājiem) un īdz ar to, izmaksas par ūdens patēriņu bezapkures periodā var pieaugt gadījumos, ja ēkā nav noteikta (vai noteikta zemāka par faktisko) atsevišķa maksa par karstā ūdens cirkulāciju.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punkta rindkopas, kas sākas ar vārdiem  “</w:t>
            </w:r>
            <w:r w:rsidR="00000000" w:rsidRPr="00000000" w:rsidDel="00000000">
              <w:rPr>
                <w:u w:val="single"/>
                <w:rtl w:val="0"/>
              </w:rPr>
              <w:t xml:space="preserve">Attālināti nolasāmu ūdens skaitītāju ieguvumi</w:t>
            </w:r>
            <w:r w:rsidR="00000000" w:rsidRPr="00000000" w:rsidDel="00000000">
              <w:rPr>
                <w:rtl w:val="0"/>
              </w:rPr>
              <w:t xml:space="preserve">” –  otro teikumu precizēt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w:t>
            </w:r>
            <w:r w:rsidR="00000000" w:rsidRPr="00000000" w:rsidDel="00000000">
              <w:rPr>
                <w:b w:val="1"/>
                <w:rtl w:val="0"/>
              </w:rPr>
              <w:t xml:space="preserve">ēkās, kurās maksā par karstā ūdens patēriņu tiek ietvertas arī izmaksas par karstā ūdens cirkulāciju</w:t>
            </w:r>
            <w:r w:rsidR="00000000" w:rsidRPr="00000000" w:rsidDel="00000000">
              <w:rPr>
                <w:rtl w:val="0"/>
              </w:rPr>
              <w:t xml:space="preserve">, vasarā karstā ūdens izmaksas ir </w:t>
            </w:r>
            <w:r w:rsidR="00000000" w:rsidRPr="00000000" w:rsidDel="00000000">
              <w:rPr>
                <w:b w:val="1"/>
                <w:rtl w:val="0"/>
              </w:rPr>
              <w:t xml:space="preserve">augstākas</w:t>
            </w:r>
            <w:r w:rsidR="00000000" w:rsidRPr="00000000" w:rsidDel="00000000">
              <w:rPr>
                <w:rtl w:val="0"/>
              </w:rPr>
              <w:t xml:space="preserve"> un lietotāji ziemā manuāli iesniedz lielāku karstā  ūdens patēriņa daudzumu, kad tas ir lētāks,  ņemot vērā   apkures sezonu, un tad šos virtuālos kubikmetrus izmanto vasarā un negodīgā ceļā samazina savas rēķina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Labojums anotācijā veikts, saskaņots 19.12.2024. e-pastā.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 punktā uz Tieslietu ministrijas 2024. gada 23. augusta lūgumu anotācijas 5.4. apakšsadaļas 1. tabulā ietvert informāciju par to, kur un kā pārņemtas Eiropas Parlamenta un Padomes 2023. gada 13. septembra direktīvas (ES) 2023/1791 par energoefektivitāti un ar ko groza Regulu (ES) 2023/955 (pārstrādātā redakcija) (turpmāk – Direktīva 2023/1791) 14.-16., kā arī 18. panta prasības attiecībā uz aukstumapgādi, ņemot vērā, ka tās nav pārņemtas projektā, ietverts šāds skaidrojums: "</w:t>
            </w:r>
            <w:r w:rsidR="00000000" w:rsidRPr="00000000" w:rsidDel="00000000">
              <w:rPr>
                <w:i w:val="1"/>
                <w:rtl w:val="0"/>
              </w:rPr>
              <w:t xml:space="preserve">aukstumapgādes jautājumi un prasības pa šo nav saistošas, pamatojoties uz Latvijas klimatisko situāciju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Savienības Tiesas judikatūrā ir atzīts, ka tiesiskās drošības princips un nepieciešamība nodrošināt pilnīgu direktīvu piemērošanu juridiski, nevis tikai faktiski, prasa, lai visas dalībvalstis pārņemtu attiecīgās direktīvas prasības ar skaidru, precīzu un pārskatāmu tiesisko regulējumu, paredzot saistošas normas jomā, uz kuru tā attiecas. Dalībvalstīm ir šāds pienākums, lai novērstu jebkādas konkrētā brīdī esošās situācijas izmaiņas tajās un nodrošinātu, ka ikviens tiesību subjekts Eiropas Savienībā, ietverot dalībvalstis, kurās noteikta direktīvā minēta darbība nepastāv, jebkuros apstākļos skaidri un precīzi zinātu savas tiesības un pienākumus (šajā ziņā sk. Eiropas Savienības Tiesas 2010.gada 14.janvāra spriedumu lietā C 343/08 Komisija/Čehija 40. un 41.punkts un tajos norādīto judikatūru, ECLI:EU:C:2010:14).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Tiesas ieskatā tas, ka direktīvā minētā darbība netiek veikta kādā dalībvalstī, neietekmē tās pienākumu transponēt direktīvu, ja nav iespējams izslēgt iespēju, ka šāda darbība varētu pastāvēt nākotnē. Attiecīgi Eiropas Savienības Tiesas 2001. gada 13. decembra spriedumā lietā C-372/00 Komisija/Īrija un 2002. gada 30. maija spriedumā lietā C-441/00 Komisija/Apvienotā Karaliste, tika nospriests, ka tas, ka Īrijā un Ziemeļīrijā nav ātrgaitas vilcienu, neatbrīvo Īriju un Lielbritānijas un Ziemeļīrijas Apvienoto Karalisti no pienākuma transponēt Padomes Direktīvu 96/48/EK par Eiropas ātrgaitas dzelzceļu sistēmas savstarpēju izmantojamību. Reizē norādām, ka Eiropas Savienības tiesa spriedumā lietā C-372/00 Komisija pret Īriju ([2001] ECR I-10303, 13.pkt.) un lietā 420/85 Komisija pret Itāliju ([1987] ECR 2983, 5.pkt.) atzinusi, ka ir pieļaujamas atkāpes no direktīvas transponēšanas pienākuma ģeogrāfisku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nodrošināt pilnīgu direktīvas prasību pārņemšanu, vai arī sniegt juridiski pamatotu skaidrojumu par pieļaujamību nepārņemt kādas direktīvas prasības, ņemot vērā iepriekš minētos apsvērumus un Eiropas Savienības Tiesas judikatūru.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regulējums attiecībā uz aukstumapgādi ir Klimata un enerģētikas ministrijas kompetence līdz lietotāja energoapgādes sistēmas piederības robežai, Ekonomikas ministrijai no piederības robežas līdz galalietotājam un galaizmantotājam. Abas ministrijas turpina darbu Direktīvas 2023/1791 pārņemšanai noteiktajos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likumā ar 2024. gada 13. jūnija likumu "Grozījumi Enerģētikas likumā" tika iekļauti termini "efektīva siltumapgāde" un "efektīva aukstumapgāde" un jauns pants  (49.prim pants), kas dod deleģējumu Ministru kabinetam noteikt efektīvas centralizētās siltumapgādes un efektīvas centralizētās aukstumapgādes kritērijus, tajā izmantojamos enerģijas veidus un to īpatsvaru. Klimata un enerģētikas ministrija izstrādā jaunos Ministru kabineta noteikumus  saistībā ar efektīvu aukstumapgādi un siltumapgādi.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anotācijas 5.4. sadaļas 1. tabulu attiecībā uz Eiropas Parlamenta un Padomes 2023. gada 13. septembra direktīvas (ES) 2023/1791 par energoefektivitāti un ar ko groza Regulu (ES) 2023/955 (pārstrādātā redakcija) (turpmāk – Direktīva 2023/1791) prasību pārņemšanu, ņemot vērā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tabulā norādīt, kur ir pārņemts Direktīvas 2023/1791 14. panta 2. punkts, kā arī 18. panta 2. un 3. punkts. Ja attiecīgās prasības nav pārņemtas projektā, aicinām norādīt, kur prasības ir pārņemtas vai arī kur un kādā termiņā prasības tiks pārņemtas;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tabulā ietvert informāciju par to, kur un kā pārņemtas Direktīvas 2023/1791 14.-16., kā arī 18. panta prasības attiecībā uz aukstumapgādi, ņemot vērā, ka tās, šķiet, nav pārņemtas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izvērtēt un precizēt vai papildināt tabulā norādītās projekta vienības, kur pārņemtas attiecīgas Direktīvas 2023/1791 vienības, vai arī sniegt pamatotu skaidrojumu. Piemēram, Direktīvas 2023/1791 14. panta 1. punkts un 15. panta 1. punkts varētu būt pārņemts arī citviet projektā (piemēram, projekta 1. punktā ietvertajā noteikumu 5.1.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lūdzam tabulā vai anotācijas 1.3. sadaļā ietvert skaidrojumu, kā tieši Direktīvas 2023/1791 15. panta 3. punkts ir pārņemts tabulā minētajās noteikumu vienībās, it īpaši ņemot vērā, ka attiecīgajās vienībās ir pārņemts 15. panta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lūdzam Direktīvas 2023/1791 vienības un korespondējošās projekta (noteikumu) vienības izdalīt detalizētāk, lai pēc iespējas precīzāk varētu izsekot, kur ir pārņemta katra direktīvas prasība. Piemēram, aicinām tabulā atsevišķi izdalīt Direktīvas 2023/1791 16. panta 1. punkta un 2. punkta pārņemšanu. Papildus norādām, ka 16. panta 1. punkts, šķiet, varētu būt pārņemts arī projekta 1. punktā izteiktajā noteikumu 5.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lūdzam izvērtēt un par Direktīvā 2023/1791 ietvertajām dalībvalsts rīcības brīvības normām (sk., piemēram, 18. panta 1. un 2. punktu) papildināt tabulas aili par rīcības brīvības izmantošanu, sniedzot skaidrojumu, kā un kādēļ rīcības brīvība izmantota;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Direktīvas 2023/1791 15. panta 1. punkts tajā ietverto prasību (sk. arī 14. panta 1. punktu) attiecina tieši uz </w:t>
            </w:r>
            <w:r w:rsidR="00000000" w:rsidRPr="00000000" w:rsidDel="00000000">
              <w:rPr>
                <w:u w:val="single"/>
                <w:rtl w:val="0"/>
              </w:rPr>
              <w:t xml:space="preserve">daudzdzīvokļu ēkām un daudzfunkcionālās ēkām, kuru siltumapgāde vai aukstumapgāde tiek nodrošināta no centrāla avota vai no centralizētas siltumapgādes vai centralizētas aukstumapgādes sistēmas</w:t>
            </w:r>
            <w:r w:rsidR="00000000" w:rsidRPr="00000000" w:rsidDel="00000000">
              <w:rPr>
                <w:rtl w:val="0"/>
              </w:rPr>
              <w:t xml:space="preserve">. Aicinām skaidrot, kā minētā prasība ir pārņemta projektā. Ja nepieciešams, aicinām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aicinām skaidrot, kā projekta 1. punktā izteiktajā noteikumu 5. punktā pārņemta Direktīvas 2023/1791 15. panta 1. punktā ietvertā norāde uz individuālu skaitītāju izmantošanu </w:t>
            </w:r>
            <w:r w:rsidR="00000000" w:rsidRPr="00000000" w:rsidDel="00000000">
              <w:rPr>
                <w:u w:val="single"/>
                <w:rtl w:val="0"/>
              </w:rPr>
              <w:t xml:space="preserve">katrā ēkas vienībā</w:t>
            </w:r>
            <w:r w:rsidR="00000000" w:rsidRPr="00000000" w:rsidDel="00000000">
              <w:rPr>
                <w:rtl w:val="0"/>
              </w:rPr>
              <w:t xml:space="preserve"> (sal. sk. projekta 1. punktā izteikto noteikumu 5.1. apakšpunktu). Proti, aicinām skaidrot, vai noteikumu 5. punktā izmantotais formulējums "atsevišķi katrai dzīvojamo un nedzīvojamo telpu grupai" atbilst minētajam direktīvas termina tvērumam un attiecīgi ir atbilstošs, lai sasniegtu attiecīgās direktīvas prasības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aicinām tabulā sniegt skaidrojumu, kur ir pārņemtas vai plānots pārņemt citas Direktīvas 2023/1791 prasības, kas netiek pārņemtas projektā, lai sniegtu pēc iespējas pilnīgāku informāciju par Direktīvas 2023/1791 prasību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ņemot vērā, ka tabulā nepieciešams norādīt projekta vienību, kurā pārņemta attiecīgā Direktīvas vienība, aicinām B aili aizpildīt, izmantojot šādu pierakstu: "projekta 1. punkts (noteikumu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Anotācijas tabulā 5.4.sadaļā precizēts. Direktīvas 2023/1791 14. panta 2. punkts pārņemts ar Ministru kabineta 2008. gada 21. oktobra noteikumu Nr. 876 “Siltumenerģijas piegādes un lietošanas noteikumi” 2.1, 2.3, 6., 8. 10., 15., 30. un 31.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2023/1791 18.panta 1.punkts pārņemts ar Ministru kabineta 2008. gada 21. oktobra noteikumu Nr. 876 “Siltumenerģijas piegādes un lietošanas noteikumi” 36.11.-2. apakšpunktiem un 36.4. punkta 1. un 2. apakšpunktiem, Saskaņā ar Dzīvojamo māju pārvaldīšanas likuma 17.</w:t>
            </w:r>
            <w:r w:rsidR="00000000" w:rsidRPr="00000000" w:rsidDel="00000000">
              <w:rPr>
                <w:vertAlign w:val="superscript"/>
                <w:rtl w:val="0"/>
              </w:rPr>
              <w:t xml:space="preserve">2</w:t>
            </w:r>
            <w:r w:rsidR="00000000" w:rsidRPr="00000000" w:rsidDel="00000000">
              <w:rPr>
                <w:rtl w:val="0"/>
              </w:rPr>
              <w:t xml:space="preserve"> panta trešo daļu pakalpojuma līgumā norāda kārtību, kādā tiek veikti maksājumi par pakalpojumu, ņemot vērā šā likuma 17.</w:t>
            </w:r>
            <w:r w:rsidR="00000000" w:rsidRPr="00000000" w:rsidDel="00000000">
              <w:rPr>
                <w:vertAlign w:val="superscript"/>
                <w:rtl w:val="0"/>
              </w:rPr>
              <w:t xml:space="preserve">3</w:t>
            </w:r>
            <w:r w:rsidR="00000000" w:rsidRPr="00000000" w:rsidDel="00000000">
              <w:rPr>
                <w:rtl w:val="0"/>
              </w:rPr>
              <w:t xml:space="preserve"> panta noteikumus, kā arī kritērijus un metodiku, pēc kādiem tiek noteikta, aprēķināta un uzskaitīta katra dzīvojamās mājas īpašnieka maksājamā daļa par dzīvojamās mājas uzturēšanai nepieciešamo pakalpojumu. Saskaņā ar Dzīvojamo māju pārvaldīšanas likuma 17.</w:t>
            </w:r>
            <w:r w:rsidR="00000000" w:rsidRPr="00000000" w:rsidDel="00000000">
              <w:rPr>
                <w:vertAlign w:val="superscript"/>
                <w:rtl w:val="0"/>
              </w:rPr>
              <w:t xml:space="preserve">2</w:t>
            </w:r>
            <w:r w:rsidR="00000000" w:rsidRPr="00000000" w:rsidDel="00000000">
              <w:rPr>
                <w:rtl w:val="0"/>
              </w:rPr>
              <w:t xml:space="preserve"> panta ceturto daļu šā panta trešās daļas 4.punktā minētos kritērijus un metodiku nosaka dzīvojamās mājas īpašnieki, ievērojot Ministru kabineta 2015. gada 15. septembra noteikumos Nr. 524 “Kārtība, kādā nosaka, aprēķina un uzskaita katra dzīvojamās mājas īpašnieka maksājamo daļu par dzīvojamās mājas uzturēšanai nepieciešamajiem pakalpojumiem” 6.,  6.1., 6.</w:t>
            </w:r>
            <w:r w:rsidR="00000000" w:rsidRPr="00000000" w:rsidDel="00000000">
              <w:rPr>
                <w:vertAlign w:val="superscript"/>
                <w:rtl w:val="0"/>
              </w:rPr>
              <w:t xml:space="preserve">2</w:t>
            </w:r>
            <w:r w:rsidR="00000000" w:rsidRPr="00000000" w:rsidDel="00000000">
              <w:rPr>
                <w:rtl w:val="0"/>
              </w:rPr>
              <w:t xml:space="preserve">, 17.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2023/1791 18. panta 2.punkts - prasības pārņemtas ar: 1)Ministru kabineta 2008. gada 21. oktobra noteikumu Nr. 876 “Siltumenerģijas piegādes un lietošanas noteikumi” 36.</w:t>
            </w:r>
            <w:r w:rsidR="00000000" w:rsidRPr="00000000" w:rsidDel="00000000">
              <w:rPr>
                <w:vertAlign w:val="superscript"/>
                <w:rtl w:val="0"/>
              </w:rPr>
              <w:t xml:space="preserve">1</w:t>
            </w:r>
            <w:r w:rsidR="00000000" w:rsidRPr="00000000" w:rsidDel="00000000">
              <w:rPr>
                <w:rtl w:val="0"/>
              </w:rPr>
              <w:t xml:space="preserve"> 1.-6. apakšpunkti , 36.</w:t>
            </w:r>
            <w:r w:rsidR="00000000" w:rsidRPr="00000000" w:rsidDel="00000000">
              <w:rPr>
                <w:vertAlign w:val="superscript"/>
                <w:rtl w:val="0"/>
              </w:rPr>
              <w:t xml:space="preserve">3</w:t>
            </w:r>
            <w:r w:rsidR="00000000" w:rsidRPr="00000000" w:rsidDel="00000000">
              <w:rPr>
                <w:rtl w:val="0"/>
              </w:rPr>
              <w:t xml:space="preserve"> 3. apakšpunkts un 36.</w:t>
            </w:r>
            <w:r w:rsidR="00000000" w:rsidRPr="00000000" w:rsidDel="00000000">
              <w:rPr>
                <w:vertAlign w:val="superscript"/>
                <w:rtl w:val="0"/>
              </w:rPr>
              <w:t xml:space="preserve">4  </w:t>
            </w:r>
            <w:r w:rsidR="00000000" w:rsidRPr="00000000" w:rsidDel="00000000">
              <w:rPr>
                <w:rtl w:val="0"/>
              </w:rPr>
              <w:t xml:space="preserve">1.-5. apakšpunkti. Nav saistoša prasība Direktīvas 2023/1791 18. panta pirmā punktā  "dalībvalstis var paredzēt, ka pēc galalietotāja pieprasījuma rēķina informācijas sniegšana nav uzskatāma par maksājuma pieprasījumu. Šādos gadījumos dalībvalstis nodrošina, ka tiek piedāvāta elastīga kārtība faktisko maksājumu veikšanai", jo paredz izvēles brīvību un nav obligāti transponējams.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2023/1791 18. panta 3.punkts - Valsts nosaka, ka pārvaldnieks ir atbildīgs par informācijas sniegšanu netiešo maksājumu gadījumā. Dzīvojamo māju pārvaldīšanas likums 6.panta II daļa 1.p. b), c), 2.p. c) finanšu uzskaites organizēšana, 10.panta I daļa - Dzīvojamās mājas pārvaldīšanas darbības kopumā vai atsevišķu šā likuma 6.pantā noteikto pārvaldīšanas darbību dzīvojamās mājas īpašnieks var uzdot veikt pārvaldniekam. Uzdoto darbību izpildē pārvaldnieks attiecībās ar dzīvojamās mājas īpašnieku kļūst par pakalpojumu sniedzēju šā likuma izpratnē, izņemot gadījumu, kad tas saņēmis pilnvarojumu slēgt līgumu dzīvojamās mājas īpašnieka vārdā, 11.panta II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15. septembra noteikumos Nr. 524 “Kārtība, kādā nosaka, aprēķina un uzskaita katra dzīvojamās mājas īpašnieka maksājamo daļu par dzīvojamās mājas uzturēšanai nepieciešamajiem pakalpojumiem” 2., 9.punkti.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Pārņemts ar Ministru kabineta 2008. gada 9. decembra noteikumu Nr. 1013 “Kārtība, kādā dzīvokļa īpašnieks daudzdzīvokļu dzīvojamā mājā norēķinās par pakalpojumiem” 3., 4., 6., 7.</w:t>
            </w:r>
            <w:r w:rsidR="00000000" w:rsidRPr="00000000" w:rsidDel="00000000">
              <w:rPr>
                <w:vertAlign w:val="superscript"/>
                <w:rtl w:val="0"/>
              </w:rPr>
              <w:t xml:space="preserve">1</w:t>
            </w:r>
            <w:r w:rsidR="00000000" w:rsidRPr="00000000" w:rsidDel="00000000">
              <w:rPr>
                <w:rtl w:val="0"/>
              </w:rPr>
              <w:t xml:space="preserve">, 8., 9., 17.</w:t>
            </w:r>
            <w:r w:rsidR="00000000" w:rsidRPr="00000000" w:rsidDel="00000000">
              <w:rPr>
                <w:vertAlign w:val="superscript"/>
                <w:rtl w:val="0"/>
              </w:rPr>
              <w:t xml:space="preserve">1</w:t>
            </w:r>
            <w:r w:rsidR="00000000" w:rsidRPr="00000000" w:rsidDel="00000000">
              <w:rPr>
                <w:rtl w:val="0"/>
              </w:rPr>
              <w:t xml:space="preserve">, 18.</w:t>
            </w:r>
            <w:r w:rsidR="00000000" w:rsidRPr="00000000" w:rsidDel="00000000">
              <w:rPr>
                <w:vertAlign w:val="superscript"/>
                <w:rtl w:val="0"/>
              </w:rPr>
              <w:t xml:space="preserve">1</w:t>
            </w:r>
            <w:r w:rsidR="00000000" w:rsidRPr="00000000" w:rsidDel="00000000">
              <w:rPr>
                <w:rtl w:val="0"/>
              </w:rPr>
              <w:t xml:space="preserve">, 31.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aukstumapgādes jautājumi un prasības pa šo nav saistošas, pamatojoties uz Latvijas klimatisko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Direktīvas 2023/1791 14. panta 1.punkts prasības pārņemtas ar Ministru kabineta 2008. gada 21. oktobra noteikumu Nr. 876 “Siltumenerģijas piegādes un lietošanas noteikumi” 2.3, 8. un 15.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Direktīvas 2023/1791 15. panta 1.punkta prasības pārņemtas ar Ministru kabineta 2008. gada 21. oktobra noteikumu Nr. 876 „Siltumenerģijas piegādes un lietošanas noteikumi”  8.</w:t>
            </w:r>
            <w:r w:rsidR="00000000" w:rsidRPr="00000000" w:rsidDel="00000000">
              <w:rPr>
                <w:vertAlign w:val="superscript"/>
                <w:rtl w:val="0"/>
              </w:rPr>
              <w:t xml:space="preserve">2</w:t>
            </w:r>
            <w:r w:rsidR="00000000" w:rsidRPr="00000000" w:rsidDel="00000000">
              <w:rPr>
                <w:rtl w:val="0"/>
              </w:rPr>
              <w:t xml:space="preserve"> punktu; Ministru kabineta 2015. gada 15. septembra Nr. 524 “Kārtība, kādā nosaka, aprēķina un uzskaita katra dzīvojamās mājas īpašnieka maksājamo daļu” 17.2, 18., 19., 19.</w:t>
            </w:r>
            <w:r w:rsidR="00000000" w:rsidRPr="00000000" w:rsidDel="00000000">
              <w:rPr>
                <w:vertAlign w:val="superscript"/>
                <w:rtl w:val="0"/>
              </w:rPr>
              <w:t xml:space="preserve">2</w:t>
            </w:r>
            <w:r w:rsidR="00000000" w:rsidRPr="00000000" w:rsidDel="00000000">
              <w:rPr>
                <w:rtl w:val="0"/>
              </w:rPr>
              <w:t xml:space="preserve">, 19.</w:t>
            </w:r>
            <w:r w:rsidR="00000000" w:rsidRPr="00000000" w:rsidDel="00000000">
              <w:rPr>
                <w:vertAlign w:val="superscript"/>
                <w:rtl w:val="0"/>
              </w:rPr>
              <w:t xml:space="preserve">3</w:t>
            </w:r>
            <w:r w:rsidR="00000000" w:rsidRPr="00000000" w:rsidDel="00000000">
              <w:rPr>
                <w:rtl w:val="0"/>
              </w:rPr>
              <w:t xml:space="preserve">, 19.</w:t>
            </w:r>
            <w:r w:rsidR="00000000" w:rsidRPr="00000000" w:rsidDel="00000000">
              <w:rPr>
                <w:vertAlign w:val="superscript"/>
                <w:rtl w:val="0"/>
              </w:rPr>
              <w:t xml:space="preserve">6</w:t>
            </w:r>
            <w:r w:rsidR="00000000" w:rsidRPr="00000000" w:rsidDel="00000000">
              <w:rPr>
                <w:rtl w:val="0"/>
              </w:rPr>
              <w:t xml:space="preserve"> punktiem; Ministru kabineta 2008. gada 9. decembra noteikumu Nr. 1013 „Kārtība, kādā dzīvokļa īpašnieks daudzdzīvokļu dzīvojamā mājā norēķinās par pakalpojumiem, kas saistīti ar dzīvokļa īpašuma lietošanu” 14. punktu; Ministru kabineta 2020. gada 16. decembra noteikumi Nr. 730 “Ekspluatējamu ēku energoefektivitātes minimālās prasības” 5., 5.</w:t>
            </w:r>
            <w:r w:rsidR="00000000" w:rsidRPr="00000000" w:rsidDel="00000000">
              <w:rPr>
                <w:vertAlign w:val="superscript"/>
                <w:rtl w:val="0"/>
              </w:rPr>
              <w:t xml:space="preserve">1</w:t>
            </w:r>
            <w:r w:rsidR="00000000" w:rsidRPr="00000000" w:rsidDel="00000000">
              <w:rPr>
                <w:rtl w:val="0"/>
              </w:rPr>
              <w:t xml:space="preserve">, 7., 8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Ekonomiskā pamatojuma aprēķināšanas metodika: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16. decembra noteikumi Nr. 730 “Ekspluatējamu ēku energoefektivitātes minimālās prasības” 7. un 8.pants par Individuālu siltuma maksas sadalītāju un individuālu siltumenerģijas patēriņa skaitītāju uzstādīšanas ekonomisko pamatojums un attiecīgie 1., 2., 3. pielikumi. Alternatīvās uzskaites kritēriji, metodes ir norādīti Ministru kabineta 2015. gada 15. septembra noteikumos Nr. 524 “Kārtība, kādā nosaka, aprēķina un uzskaita katra dzīvojamās mājas īpašnieka maksājamo daļu” 17.-23.punkts, 31., 31.1., 32. un 33. punkts. Dzīvokļa īpašuma likuma 13.panta trešā daļa nosaka, ka pieņemot šā panta otrajā daļā minēto lēmumu (par pasākumiem, kuru rezultātā samazinās izdevumi par pakalpojumiem, kas saistīti ar dzīvokļa īpašuma lietošanu), dzīvokļu īpašnieku kopība izvērtē dokumentus, kas pamato attiecīgo darbību izmaksu efektivitāti atbilstoši šā panta otrās daļas 1. un 2.punktā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Direktīvas 2023/1791 15. panta 3.punkta prasības  pārņemtas ar Ministru kabineta 2015. gada 15. septembra noteikumu Nr. 524 “Kārtība, kādā nosaka, aprēķina un uzskaita katra dzīvojamās mājas īpašnieka maksājamo daļu par dzīvojamās mājas” III sadaļā par siltumenerģiju; Ministru kabineta 2008.gada 9.decembra  noteikumu Nr.1013 "Kārtība, kādā dzīvokļa īpašnieks daudzdzīvokļu dzīvojamā mājā norēķinās par pakalpojumiem, kas saistīti ar dzīvokļa īpašuma lietošanu” 17.</w:t>
            </w:r>
            <w:r w:rsidR="00000000" w:rsidRPr="00000000" w:rsidDel="00000000">
              <w:rPr>
                <w:vertAlign w:val="superscript"/>
                <w:rtl w:val="0"/>
              </w:rPr>
              <w:t xml:space="preserve">1</w:t>
            </w:r>
            <w:r w:rsidR="00000000" w:rsidRPr="00000000" w:rsidDel="00000000">
              <w:rPr>
                <w:rtl w:val="0"/>
              </w:rPr>
              <w:t xml:space="preserve">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izdalīts detalizētāk;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šī skaidrojuma 1) sadaļā norādīts par Direktīvas 2023/1791 18.panta 1. un 2.punkta pārņemšanu. Rīcības brīvība izmantota saistībā ar iespējām izvēlēties maksājamās daļas aprēķina metodiku par siltumenerģiju un attiecīgi dzīvokļu īpašnieku kopībai vai pārvaldniekam sastādot rēķinu (papildināts skaidrojums anotācijas 5.4.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Direktīvas 2023/1791 15. panta 1. punktu attiecina uz ekspluatācijā esošām ēkām, tajā skaitā uz daudzdzīvokļu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formulējums "atsevišķi katrai dzīvojamo un nedzīvojamo telpu grupai", kas tiek lietots arī citos nacionālajos normatīvajos aktos, atbilst Direktīvas 2023/1791 termina tvērumam  - katrā ēkas 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par Direktīvas 2023/1791 transponēšanu ir atbildīga 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Daudzdzīvokļu dzīvojamā mājā un nedzīvojamā ēkā patērēto siltumenerģiju uzskaita atsevišķi katrai dzīvojamo un nedzīvojamo telpu grupai. Patērētās siltumenerģijas uzskaitē izmanto attālināti nolasāmus individuālus siltumenerģijas patēriņa skaitītājus, ja tas ir tehniski iespējams un ekonomiski pamatoti. Ja individuālu skaitītāju izmantošana katrā ēkas vienībā nav tehniski iespējama vai nav ekonomiski pamatota, siltumenerģijas patēriņa mērīšanai izmanto individuālus siltummaksas sadalītājus, ar kuriem mēra siltumenerģijas patēriņu katrā radiatorā. Ja individuālu siltuma maksas sadalītāju uzstādīšana katram sildelementam nav tehniski iespējama vai nav ekonomiski pamatota, izmanto  siltumenerģijas patēriņa noteikšanas sistēmu, izmantojot tiešsaistē periodiski fiksētus siltumnesēja caurplūdes un apkures cauruļvadu virsmu temperatūras datus (turpmāk – siltumenerģijas patēriņa noteikšanas sistēma), ja tas ir tehniski iespējams  un ekonomiski pamatoti. Individuālie siltumenerģijas skaitītāji atbilst metroloģiskajām prasībām, kas noteiktas normatīvajos aktos par mērījumu vienotību, individuālie siltuma maksas sadalītāji atbilst prasībām, kas noteiktas standartā LVS EN 834+AC:2021 "Siltuma maksas sadalītāji dzīvokļa apsildes radiatoriem. Ierīces ar elektroenerģijas avotu", un siltumenerģijas patēriņa noteikšanas sistēma atbilst dzīvojamās mājas īpašnieku un radioiekārtu atbilstības novērtēšanas, piedāvāšanas tirgū, uzstādīšanas, lietošanas un uzraudzības regulējumā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(LSUA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patērētās siltumenerģijas uzskaitei piedāvātās tehnoloģijas un to iespējas, LSUA aicina noteikt sekojošu prioritāro kārtību: 1) individuālie skaitītāji; 2) ja individuālie skaitītāji nav tehniski vai ekonomiski pamatoti, tad patēriņa noteikšanas sistēma ar sensoriem uz stāvvadiem; 3) ja sistēma ar sensoriem uz stāvvadiem nav tehniski vai ekonomiski pamatota, tad siltummaksas sadalītāji, ar kuriem mēra siltumenerģijas patēriņu katrā radiatorā. LSUA ieskatā, ja individuālo skaitītāju uzstādīšana nav iespējama, ir arī jāparedz iespēja īpašniekiem izvēlēties, kuru no alternatīvām  ierīcēm (metodēm) lietot.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Daudzdzīvokļu dzīvojamā mājā un nedzīvojamā ēkā patērēto siltumenerģiju uzskaita atsevišķi katrai dzīvojamo un nedzīvojamo telpu grupai. Patērētās siltumenerģijas uzskaitē izmanto attālināti nolasāmus individuālus siltumenerģijas patēriņa skaitītājus, ja tas ir tehniski iespējams un ekonomiski pamatoti. Ja individuālu skaitītāju izmantošana katrā ēkas vienībā nav tehniski iespējama vai nav ekonomiski pamatota, siltumenerģijas patēriņa mērīšanai var izmantot individuālus siltummaksas sadalītājus, ar kuriem mēra siltumenerģijas patēriņu katrā radiatorā, vai siltumenerģijas patēriņa noteikšanas sistēmu, izmantojot tiešsaistē periodiski fiksētus siltumnesēja caurplūdes un apkures cauruļvadu virsmu temperatūras datus (turpmāk – siltumenerģijas patēriņa noteikšanas sistēma), ja tas ir tehniski iespējams  un ekonomiski pamatoti. Individuālie siltumenerģijas skaitītāji atbilst metroloģiskajām prasībām, kas noteiktas normatīvajos aktos par mērījumu vienotību, individuālie siltuma maksas sadalītāji atbilst prasībām, kas noteiktas standartā LVS EN 834+AC:2021 "Siltuma maksas sadalītāji dzīvokļa apsildes radiatoriem. Ierīces ar elektroenerģijas avotu", un siltumenerģijas patēriņa noteikšanas sistēma atbilst dzīvojamās mājas īpašnieku un radioiekārtu atbilstības novērtēšanas, piedāvāšanas tirgū, uzstādīšanas, lietošanas un uzraudzības regulējumā noteiktajām prasībām."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definētā secība ir noteikta saskaņā ar Direktīvas 2023/1791 15. panta 1.punkta prasībām. Saskaņā ar Dzīvokļa īpašuma likuma 13.panta trešo daļu, pieņemot šā panta otrajā daļā minēto lēmumu (par pasākumiem, kuru rezultātā samazinās izdevumi par pakalpojumiem, kas saistīti ar dzīvokļa īpašuma lietošanu), pārvaldniekam vai citai pilnvarotai personai pirms dzīvokļu īpašnieku kopības lēmuma pieņemšanas, jāsagatavo dokumenti izvērtēšanai dzīvokļu īpašniekiem, kas apstiprina izmaksu efektivitāti atbilstoši mājas tehniskajam stāvoklim, potenciālās  patērētās siltumenerģijas daudzuma noteikšanai izmantotās ierīces vai iekārtas atbilstību normatīvajam regulējumam, un atbilstošu metodiku maksājamās daļas aprēķinam par siltumenerģiju. Līdz ar to, pamatotai lēmuma pieņemšanai, dzīvokļu īpašniekiem jāizvērtē  vairākas patērētā siltumenerģijas daudzuma noteikšanai izmantotās ierīces vai iekārtas, ņemot vērā vairākus aspektus.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Daudzdzīvokļu dzīvojamā mājā un nedzīvojamā ēkā patērēto siltumenerģiju uzskaita atsevišķi katrai dzīvojamo un nedzīvojamo telpu grupai, izmantojot šādus uzskaites veidus: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Daudzdzīvokļu dzīvojamā mājā patērēto siltumenerģiju uzskaita atsevišķi katrai dzīvojamo un nedzīvojamo telpu grupai. Patērētās siltumenerģijas uzskaitē izmanto attālināti nolasāmus individuālus siltumenerģijas patēriņa skaitītājus, individuālus siltuma maksas sadalītājus katram sildelementam vai siltumenerģijas patēriņa noteikšanas sistēmu, izmantojot tiešsaistē periodiski fiksētus siltumnesēja caurplūdes un apkures cauruļvadu virsmu temperatūras datus (turpmāk – siltumenerģijas patēriņa noteikšanas sistēma),  izņemot,  ja minēto ierīču uzstādīšana nav tehniski iespējama vai nav ekonomiski pamatota. Individuālie siltumenerģijas patēriņa skaitītāji un siltumenerģijas patēriņa noteikšanas sistēma, izmantojot tiešsaistē periodiski fiksētus siltumnesēja caurplūdes un apkures cauruļvadu virsmu temperatūras datus, atbilst metroloģiskajām prasībām, kas noteiktas normatīvajos aktos par mērījumu vienotību, bet individuālie siltuma maksas sadalītāji atbilst prasībām, kas noteiktas standartā LVS EN 834+AC:2021 "Siltumenerģijas patēriņa noteicēji dzīvokļa apsildes radiatoriem. Ierīces ar elektroenerģijas avotu".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(Patērētāju tiesību aizsardzības centrs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secina, ka arī Noteikumu Nr.730 grozījumos ir ietverta nekorekta atsauce uz normatīvajiem aktiem par mērījumu vienotību. PTAC vērš uzmanību, ka Noteikumu Nr.730 5.punktā minēts, ka siltumenerģijas patēriņa noteikšanas sistēma atbilst metroloģiskajām prasībām, kas noteiktas normatīvajos aktos par mērījumu vienotību. PTAC atkārtoti informē, ka siltumenerģijas patēriņa noteikšanas sistēma nav pakļauta valsts metroloģiskajai kontrolei, līdz ar to nav piemērojamas normatīvajos aktos par mērījumu vienotību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5.punktu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Daudzdzīvokļu dzīvojamā mājā patērēto siltumenerģiju uzskaita atsevišķi katrai dzīvojamo un nedzīvojamo telpu grupai. Patērētās siltumenerģijas uzskaitē izmanto attālināti nolasāmus individuālus siltumenerģijas skaitītājus, individuālus siltuma maksas sadalītājus katram sildelementam vai siltumenerģijas patēriņa noteikšanas sistēmu, izmantojot tiešsaistē periodiski fiksētus siltumnesēja caurplūdes un apkures cauruļvadu virsmu temperatūras datus (turpmāk – siltumenerģijas patēriņa noteikšanas sistēma),  izņemot,  ja minēto ierīču uzstādīšana nav tehniski iespējama vai nav ekonomiski pamatota. Individuālie siltumenerģijas skaitītāji atbilst metroloģiskajām prasībām, kas noteiktas normatīvajos aktos par mērījumu vienotību, siltumenerģijas patēriņa noteikšanas sistēma, izmantojot tiešsaistē periodiski fiksētus siltumnesēja caurplūdes un apkures cauruļvadu virsmu temperatūras datus atbilst dzīvojamās mājas īpašnieku un radioiekārtu regulējumā noteiktajām prasībām, bet individuālie siltuma maksas sadalītāji atbilst prasībām, kas noteiktas standartā LVS EN 834+AC:2021 “Siltumenerģijas patēriņa noteicēji dzīvokļa apsildes radiatoriem. Ierīces ar elektroenerģijas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Izteikts jaunā redakcijā ar precizējumiem.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Daudzdzīvokļu dzīvojamā mājā un nedzīvojamā ēkā patērēto siltumenerģiju uzskaita atsevišķi katrai dzīvojamo un nedzīvojamo telpu grupai, izmantojot šādus uzskaites veidus: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Daudzdzīvokļu dzīvojamā mājā patērēto siltumenerģiju uzskaita atsevišķi katrai dzīvojamo un nedzīvojamo telpu grupai. Patērētās siltumenerģijas uzskaitē izmanto attālināti nolasāmus individuālus siltumenerģijas patēriņa skaitītājus, individuālus siltuma maksas sadalītājus katram sildelementam vai siltumenerģijas patēriņa noteikšanas sistēmu, izmantojot tiešsaistē periodiski fiksētus siltumnesēja caurplūdes un apkures cauruļvadu virsmu temperatūras datus (turpmāk – siltumenerģijas patēriņa noteikšanas sistēma),  izņemot,  ja minēto ierīču uzstādīšana nav tehniski iespējama vai nav ekonomiski pamatota. Individuālie siltumenerģijas patēriņa skaitītāji un siltumenerģijas patēriņa noteikšanas sistēma, izmantojot tiešsaistē periodiski fiksētus siltumnesēja caurplūdes un apkures cauruļvadu virsmu temperatūras datus, atbilst metroloģiskajām prasībām, kas noteiktas normatīvajos aktos par mērījumu vienotību, bet individuālie siltuma maksas sadalītāji atbilst prasībām, kas noteiktas standartā LVS EN 834+AC:2021 "Siltumenerģijas patēriņa noteicēji dzīvokļa apsildes radiatoriem. Ierīces ar elektroenerģijas avotu".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Siltumenerģijas patēriņa noteikšanas sistēma, izmantojot tiešsaistē periodiski fiksētus siltumnesēja caurplūdes un apkures cauruļvadu virsmu temperatūras datus, atbilst metroloģiskajām prasībām, kas noteiktas normatīvajos aktos par mērījumu vienotību.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šādas sistēmas esamību, kas atbilstu noteiktajam aprakstam, jāizsaka pamatotas bažas, jo tirgū par šādas sistēmas esamību nav saņemtas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Grozījumos precizēts,  ka siltumenerģijas patēriņa noteikšanas sistēma atbilst dzīvojamās mājas īpašnieku un radioiekārtu regulējumā noteiktajām prasībām.  Informācija par minēto sistēmu ir pieejama www.ecengo.lv un grozījumu Ministru kabineta 2015. gada 15. septembra noteikumos Nr. 524 "Kārtība, kādā nosaka, aprēķina un uzskaita katra dzīvojamās mājas īpašnieka maksājamo daļu par dzīvojamās mājas uzturēšanai nepieciešamajiem pakalpojumiem" anotācijas 1.1.punktā.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Daudzdzīvokļu dzīvojamā mājā un nedzīvojamā ēkā patērēto siltumenerģiju uzskaita atsevišķi katrai dzīvojamo un nedzīvojamo telpu grupai, izmantojot šādus uzskaites veidus: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Daudzdzīvokļu dzīvojamā mājā patērēto siltumenerģiju uzskaita atsevišķi katrai dzīvojamo un nedzīvojamo telpu grupai. Patērētās siltumenerģijas uzskaitē izmanto attālināti nolasāmus individuālus siltumenerģijas patēriņa skaitītājus, individuālus siltuma maksas sadalītājus katram sildelementam vai siltumenerģijas patēriņa noteikšanas sistēmu, izmantojot tiešsaistē periodiski fiksētus siltumnesēja caurplūdes un apkures cauruļvadu virsmu temperatūras datus (turpmāk – siltumenerģijas patēriņa noteikšanas sistēma),  izņemot,  ja minēto ierīču uzstādīšana nav tehniski iespējama vai nav ekonomiski pamatota. Individuālie siltumenerģijas patēriņa skaitītāji un siltumenerģijas patēriņa noteikšanas sistēma, izmantojot tiešsaistē periodiski fiksētus siltumnesēja caurplūdes un apkures cauruļvadu virsmu temperatūras datus, atbilst metroloģiskajām prasībām, kas noteiktas normatīvajos aktos par mērījumu vienotību, bet individuālie siltuma maksas sadalītāji atbilst prasībām, kas noteiktas standartā LVS EN 834+AC:2021 "Siltumenerģijas patēriņa noteicēji dzīvokļa apsildes radiatoriem. Ierīces ar elektroenerģijas avotu".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2023/1791 15. panta 1. punkts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Daudzdzīvokļu ēkās un daudzfunkcionālās ēkās, kuru siltumapgāde vai aukstumapgāde tiek nodrošināta no centrāla avota vai no centralizētas siltumapgādes vai centralizētas aukstumapgādes sistēmas, uzstāda individuālos skaitītājus, kas mēra siltumenerģijas vai aukstumapgādes enerģijas vai mājsaimniecības karstā ūdens patēriņu katrā ēkas vienībā, ja tas ir tehniski iespējami un izmaksu ziņā lietderīgi tādā nozīmē, ka tas ir samērīgi attiecībā pret potenciālo enerģijas ietaupījumu. </w:t>
            </w:r>
            <w:r w:rsidR="00000000" w:rsidRPr="00000000" w:rsidDel="00000000">
              <w:rPr>
                <w:i w:val="1"/>
                <w:u w:val="single"/>
                <w:rtl w:val="0"/>
              </w:rPr>
              <w:t xml:space="preserve">Ja individuālu skaitītāju izmantošana katrā ēkas vienībā nav tehniski iespējama vai nav izmaksu ziņā lietderīga</w:t>
            </w:r>
            <w:r w:rsidR="00000000" w:rsidRPr="00000000" w:rsidDel="00000000">
              <w:rPr>
                <w:i w:val="1"/>
                <w:rtl w:val="0"/>
              </w:rPr>
              <w:t xml:space="preserve">, siltumenerģijas patēriņa mērīšanai </w:t>
            </w:r>
            <w:r w:rsidR="00000000" w:rsidRPr="00000000" w:rsidDel="00000000">
              <w:rPr>
                <w:i w:val="1"/>
                <w:u w:val="single"/>
                <w:rtl w:val="0"/>
              </w:rPr>
              <w:t xml:space="preserve">izmanto individuālus siltummaksas sadalītājus</w:t>
            </w:r>
            <w:r w:rsidR="00000000" w:rsidRPr="00000000" w:rsidDel="00000000">
              <w:rPr>
                <w:i w:val="1"/>
                <w:rtl w:val="0"/>
              </w:rPr>
              <w:t xml:space="preserve">, ar kuriem mēra siltumenerģijas patēriņu katrā radiatorā, </w:t>
            </w:r>
            <w:r w:rsidR="00000000" w:rsidRPr="00000000" w:rsidDel="00000000">
              <w:rPr>
                <w:b w:val="1"/>
                <w:i w:val="1"/>
                <w:u w:val="single"/>
                <w:rtl w:val="0"/>
              </w:rPr>
              <w:t xml:space="preserve">ja vien</w:t>
            </w:r>
            <w:r w:rsidR="00000000" w:rsidRPr="00000000" w:rsidDel="00000000">
              <w:rPr>
                <w:i w:val="1"/>
                <w:rtl w:val="0"/>
              </w:rPr>
              <w:t xml:space="preserve"> </w:t>
            </w:r>
            <w:r w:rsidR="00000000" w:rsidRPr="00000000" w:rsidDel="00000000">
              <w:rPr>
                <w:i w:val="1"/>
                <w:u w:val="single"/>
                <w:rtl w:val="0"/>
              </w:rPr>
              <w:t xml:space="preserve">attiecīgā dalībvalsts nav pierādījusi, ka šādu siltummaksas sadalītāju uzstādīšana nebūtu izmaksu ziņā lietderīga</w:t>
            </w:r>
            <w:r w:rsidR="00000000" w:rsidRPr="00000000" w:rsidDel="00000000">
              <w:rPr>
                <w:i w:val="1"/>
                <w:rtl w:val="0"/>
              </w:rPr>
              <w:t xml:space="preserve">. </w:t>
            </w:r>
            <w:r w:rsidR="00000000" w:rsidRPr="00000000" w:rsidDel="00000000">
              <w:rPr>
                <w:b w:val="1"/>
                <w:i w:val="1"/>
                <w:u w:val="single"/>
                <w:rtl w:val="0"/>
              </w:rPr>
              <w:t xml:space="preserve">Tādos gadījumos</w:t>
            </w:r>
            <w:r w:rsidR="00000000" w:rsidRPr="00000000" w:rsidDel="00000000">
              <w:rPr>
                <w:i w:val="1"/>
                <w:rtl w:val="0"/>
              </w:rPr>
              <w:t xml:space="preserve"> var apsvērt alternatīvas izmaksu ziņā lietderīgas metodes siltumenerģijas patēriņa uzskaitei. Katra dalībvalsts skaidri nosaka un publicē vispārējos kritērijus, metodes un procedūras, lai noteiktu, pie kādiem to uzskata par tehniski neiespējamu vai izmaksu nelietderīgu."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projektu vai sniegt pamatotu skaidrojumu par to, kā projekta 1. punktā izteiktais noteikumu 5. punkts atbilst minētajai direktīvas prasībai, īpaši 15. panta 1. punkta otrajai daļai, tostarp skaidrojot, kas noteikumu 5. punktā domāts ar "minētajām ierīcēm". Proti, no direktīvas normas, šķiet, izriet, ka siltummaksas sadalītājus var izmantot tikai tad, ja individuālu skaitītāju izmantošana nav tehniski iespējama vai nav izmaksu ziņā lietderīga, savukārt citas alternatīvas izmaksu ziņā lietderīgas metodes siltumenerģijas patēriņa uzskaitei var apsvērt tad, ja dalībvalsts ir pierādījusi, ka šādu siltummaksas sadalītāju uzstādīšana nebūtu izmaksu ziņā lietderīga. No noteikumu 5. punkta, šķiet, attiecīgā siltumenerģijas patēriņa uzskaites veidu piemērojamā secība neizriet, bet gan visi varianti paredzēti kā vienlīdz izmantojamas alternatīvas. Turklāt, ja ar "minētajām ierīcēm" domāti visi trīs varianti, tad no normas varētu arī secināt, ka var neuzstādīt nevienu no variantiem, ja minēto ierīču uzstādīšana nav tehniski iespējama vai nav ekonomiski pamatota.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Siltumenerģijas uzskaites (sadales) iespējas ir paredz ierīces, līdz ar to "minētās ierīces" atbilst visām projekta 1.punkta (likumprojekta 5. punktā) uzskaitītajām iespējām. Direktīvas norma neparedz secīgu siltumenerģijas uzskaites (sadales) iespējas izvēli, ko apliecina preambulas 26. paragrāfā minētais, ka, izstrādājot energoefektivitātes uzlabošanas pasākumus, būtu jāņem vērā efektivitātes ieguvumi un ietaupījums no rentablu tehnoloģisku inovāciju, piemēram, viedo skaitītāju, plašas izmantošanas. Papildus arī preambulas 28. paragrāfā norādīts, ka ​i​​​​​ndividuālu skaitītāju vai siltummaksas sadalītāju izmantošana, lai uzskaitītu individuālo siltuma patēriņu daudzdzīvokļu ēkās, kurās ir centralizēta siltumapgāde vai kopīga centrālā siltumapgāde, ir lietderīga tajos gadījumos, kad galalietotāju rīcībā ir resursi, ar kuru palīdzību kontrolēt savu individuālo patēriņu. Savukārt preambulas 30. paragrāfā minēts, ka Direktīvā 2006/32/EK ir noteikts, ka dalībvalstīm jānodrošina galalietotāji ar individuāliem skaitītājiem par konkurētspējīgu cenu, kas precīzi ataino viņu faktisko enerģijas patēriņu un kas sniedz informāciju par faktisko izmantošanas laiku. Lielākajā daļā gadījumu šī prasība ir piemērojama ar nosacījumu, ka tas ir tehniski iespējams, izmaksu ziņā lietderīgi un samērīgi attiecībā uz iespējamo enerģijas ietaupījumu. Vērtējot kopsakarā, lai dzīvokļu īpašniekiem būtu iespējams izvēlēties konkurētspējīgu cenu un rentablas tehnoloģiskas inovācijas, prasības par secīgu siltumenerģijas uzskaites iespēju izvēli nebūtu iespējama. Turklāt secīgas izvēles iespējas būtu kā ierobežojums izvēles brīvībai, skatot no dzīvokļa īpašnieka tiesībām saskaņā ar Dzīvokļa īpašuma likuma 9.pantu, un kā nodrošināt energoefektivitātes uzlabošanas pasākumus, ņemot vērā dzīvokļu īpašnieku kopības rīcībā esošos resursus un maksātspēju.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Daudzdzīvokļu dzīvojamā mājā un nedzīvojamā ēkā patērēto siltumenerģiju uzskaita atsevišķi katrai dzīvojamo un nedzīvojamo telpu grupai, izmantojot šādus uzskaites veidus: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Daudzdzīvokļu dzīvojamā mājā patērēto siltumenerģiju uzskaita atsevišķi katrai dzīvojamo un nedzīvojamo telpu grupai. Patērētās siltumenerģijas uzskaitē izmanto attālināti nolasāmus individuālus siltumenerģijas patēriņa skaitītājus, individuālus siltuma maksas sadalītājus katram sildelementam vai siltumenerģijas patēriņa noteikšanas sistēmu, izmantojot tiešsaistē periodiski fiksētus siltumnesēja caurplūdes un apkures cauruļvadu virsmu temperatūras datus (turpmāk – siltumenerģijas patēriņa noteikšanas sistēma),  izņemot,  ja minēto ierīču uzstādīšana nav tehniski iespējama vai nav ekonomiski pamatota. Individuālie siltumenerģijas patēriņa skaitītāji un siltumenerģijas patēriņa noteikšanas sistēma, izmantojot tiešsaistē periodiski fiksētus siltumnesēja caurplūdes un apkures cauruļvadu virsmu temperatūras datus, atbilst metroloģiskajām prasībām, kas noteiktas normatīvajos aktos par mērījumu vienotību, bet individuālie siltuma maksas sadalītāji atbilst prasībām, kas noteiktas standartā LVS EN 834+AC:2021 "Siltumenerģijas patēriņa noteicēji dzīvokļa apsildes radiatoriem. Ierīces ar elektroenerģijas avotu".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kādēļ projektā nepieciešams norādīt obligāti piemērojamo Latvijas nacionālo standartu, kā arī lūdzam norādīt, vai standarts ir latviski tulkots. Aicinām arī izvērtēt, vai norādīts korekts standarta nosaukums (sal. sk. https://www.lvs.lv/lv/products/149656). Ja nepieciešams, aicinām to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un koriģēts standarta nosaukums atbilstoši iebildumam. LVS EN 834+AC:2021 ir tulkojums Latviešu valodā un tas ir identisks standartam LVS EN 834:2013 un tā koriģējumam LVS EN 834:2013/AC:2015  (tulkojumā LVS EN 834+AC:2021 jau ir integrēts LVS EN 834:2013/AC:2015). Nosaukums ir koriģēts pēc tulkošanas speciālistu ieteikuma un tādēļ ir atšķirības nosaukumā, bet tā saturs bez izmaiņām ir identisks.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Daudzdzīvokļu dzīvojamā mājā un nedzīvojamā ēkā patērēto siltumenerģiju uzskaita atsevišķi katrai dzīvojamo un nedzīvojamo telpu grupai, izmantojot šādus uzskaites veidus: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Individuālajiem siltuma maksas sadalītājiem un individuālajiem siltumenerģijas patēriņa skaitītājiem, kas uzstādīti pirms 2021. gada 1. janvāra un nav attālināti nolasāmi, līdz 2027. gada 1. janvārim nodrošina attālinātu nolasāmību vai aizstāj tos ar attālināti nolasāmiem individuāliem siltuma maksas sadalītājiem, individuāliem siltumenerģijas patēriņa skaitītājiem vai siltumenerģijas patēriņa noteikšanas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2023/1791 16. pants paredz: "</w:t>
            </w:r>
            <w:r w:rsidR="00000000" w:rsidRPr="00000000" w:rsidDel="00000000">
              <w:rPr>
                <w:i w:val="1"/>
                <w:rtl w:val="0"/>
              </w:rPr>
              <w:t xml:space="preserve">1.   </w:t>
            </w:r>
            <w:r w:rsidR="00000000" w:rsidRPr="00000000" w:rsidDel="00000000">
              <w:rPr>
                <w:i w:val="1"/>
                <w:u w:val="single"/>
                <w:rtl w:val="0"/>
              </w:rPr>
              <w:t xml:space="preserve">Direktīvas 14. un 15. panta nolūkā jaunuzstādīti skaitītāji un siltummaksas sadalītāji</w:t>
            </w:r>
            <w:r w:rsidR="00000000" w:rsidRPr="00000000" w:rsidDel="00000000">
              <w:rPr>
                <w:i w:val="1"/>
                <w:rtl w:val="0"/>
              </w:rPr>
              <w:t xml:space="preserve"> ir attālināti nolasāmas ierīces. </w:t>
            </w:r>
            <w:r w:rsidR="00000000" w:rsidRPr="00000000" w:rsidDel="00000000">
              <w:rPr>
                <w:i w:val="1"/>
                <w:u w:val="single"/>
                <w:rtl w:val="0"/>
              </w:rPr>
              <w:t xml:space="preserve">Piemēro tehniskās iespējamības un izmaksu lietderības nosacījumus, kas izklāstīti 15. panta 1. punktā</w:t>
            </w:r>
            <w:r w:rsidR="00000000" w:rsidRPr="00000000" w:rsidDel="00000000">
              <w:rPr>
                <w:i w:val="1"/>
                <w:rtl w:val="0"/>
              </w:rPr>
              <w:t xml:space="preserve">. 2. Līdz 2027. gada 1. janvārim </w:t>
            </w:r>
            <w:r w:rsidR="00000000" w:rsidRPr="00000000" w:rsidDel="00000000">
              <w:rPr>
                <w:i w:val="1"/>
                <w:u w:val="single"/>
                <w:rtl w:val="0"/>
              </w:rPr>
              <w:t xml:space="preserve">skaitītājus un siltummaksas sadalītājus</w:t>
            </w:r>
            <w:r w:rsidR="00000000" w:rsidRPr="00000000" w:rsidDel="00000000">
              <w:rPr>
                <w:i w:val="1"/>
                <w:rtl w:val="0"/>
              </w:rPr>
              <w:t xml:space="preserve">, kas nav attālināti nolasāmi, bet ir jau uzstādīti, dara attālināti nolasāmus vai aizstāj ar attālināti nolasāmām ierīcēm, </w:t>
            </w:r>
            <w:r w:rsidR="00000000" w:rsidRPr="00000000" w:rsidDel="00000000">
              <w:rPr>
                <w:i w:val="1"/>
                <w:u w:val="single"/>
                <w:rtl w:val="0"/>
              </w:rPr>
              <w:t xml:space="preserve">izņemot gadījumus, ja attiecīgā dalībvalsts ir pierādījusi, ka tas nav izmaksu ziņā lietderīgi.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anotācijā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un kā korekti un pilnībā projektā pārņemts Direktīvas 2023/1791 16. panta 2. punkts (kontekstā ar 1. punktu), ņemot vērā, ka tajā ietverta norāde tieši un tikai uz skaitītājiem un siltummaksas sadalītājiem, savukārt projekta 4. punktā izteiktajā noteikumu 14. punktā beigās ietverta norāde arī uz siltumenerģijas patēriņa noteikšanas sistēmu. Proti, lūdzam skaidrot, vai minētās direktīvas prasības tvērumā ietilpst arī projektā minētā siltumenerģijas patēriņa noteikšanas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Direktīvas 2023/1791 16. panta 1. punkta 2. teikuma, kā arī 16. panta 2. teikuma beigu daļas "</w:t>
            </w:r>
            <w:r w:rsidR="00000000" w:rsidRPr="00000000" w:rsidDel="00000000">
              <w:rPr>
                <w:i w:val="1"/>
                <w:rtl w:val="0"/>
              </w:rPr>
              <w:t xml:space="preserve">izņemot gadījumus, ja attiecīgā dalībvalsts ir pierādījusi, ka tas nav izmaksu ziņā lietderīgi</w:t>
            </w:r>
            <w:r w:rsidR="00000000" w:rsidRPr="00000000" w:rsidDel="00000000">
              <w:rPr>
                <w:rtl w:val="0"/>
              </w:rPr>
              <w:t xml:space="preserve">" pārņemšanu. Saistībā ar minēto aicinām skaidrot, vai projektā ietvertais regulējums nav stingrāks, nekā paredz attiecīgā direktīvas prasība.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sniegt skaidrojumus anotācijā. Ja nepieciešams,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Direktīvas 2023/1791 16. pants nosaka attālinātās nolasīšanas prasības saistībā ar 14. un 15. pantu, kur savukārt ietverts tvērums  par individuāliem skaitītājiem, siltummaksas sadalītājiem un alternatīvas izmaksu ziņā lietderīgām metodēm.  Preambulas 26. paragrāfā minēts, ka, izstrādājot energoefektivitātes uzlabošanas pasākumus, būtu jāņem vērā efektivitātes ieguvumi un ietaupījums no rentablu tehnoloģisku inovāciju, piemēram, viedo skaitītāju, plašas izmantošanas. Līdz ar to prasības tvērumā ietilpst  projektā minētā siltumenerģijas patēriņa noteikšanas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izmaksu lietderīguma, izvēloties siltumenerģijas uzskaites (sadales) iespēju, izvērtējums pieejams projekta 1., 2., 3. pielikumā.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punktā (likumprojekta 7. panta otrajā teikumā) noteikts, ka individuālu siltuma maksas sadalītāju, individuālu siltumenerģijas patēriņa skaitītāju vai siltumenerģijas patēriņa noteikšanas sistēmas uzstādīšana ir ekonomiski pamatota, ja, piemērojot Valsts kases tīmekļvietnē publicēto pēdējā pieejamā ceturkšņa attiecīgo diskonta likmi ilgtermiņa ieguldījumu patiesās vērtības noteikšanai saimnieciskās darbības veidam "Nekustamais īpašums (vispārīgi)", neto tagadnes vērtība 10 gadu atmaksāšanās periodam ir pozitīva. Līdz ar to ietvertais regulēts nav stingrāks, bet tiek noteikti kritēriji, kas palīdz izvērtēt izmaksu lietderīgumu.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Individuālajiem siltuma maksas sadalītājiem un individuālajiem siltumenerģijas patēriņa skaitītājiem, kas uzstādīti pirms 2021. gada 1. janvāra un nav attālināti nolasāmi, līdz 2027. gada 1. janvārim nodrošina attālinātu nolasāmību vai aizstāj tos ar attālināti nolasāmiem individuāliem siltuma maksas sadalītājiem, individuāliem siltumenerģijas patēriņa skaitītājiem vai siltumenerģijas patēriņa noteikšanas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No jauna uzstādītie individuālie skaitītāji, kas mēra mājsaimniecības karstā ūdens patēriņu katrā ēkas vienībā,  ir attālināti nolasāmi, ja tas ir tehniski iespējams un ekonomiski pamatoti.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13. septembra Direktīva (ES) 2023/1791 par energoefektivitāti un ar ko groza Regulu (ES) 2023/955 (pārstrādāta redakcija) (turpmāk - Direktīva 2023/1971) noteic, ka tās 16. panta 1. punktā -</w:t>
            </w:r>
            <w:r w:rsidR="00000000" w:rsidRPr="00000000" w:rsidDel="00000000">
              <w:rPr>
                <w:i w:val="1"/>
                <w:rtl w:val="0"/>
              </w:rPr>
              <w:t xml:space="preserve"> jaunuzstādīti skaitītāji un siltummaksas sadalītāji ir attālināti nolasāmas ierīces. Piemēro tehniskās iespējamības un izmaksu lietderības nosacījumus, kas izklāstīti 15. panta 1. punktā. </w:t>
            </w:r>
            <w:r w:rsidR="00000000" w:rsidRPr="00000000" w:rsidDel="00000000">
              <w:rPr>
                <w:rtl w:val="0"/>
              </w:rPr>
              <w:t xml:space="preserve">Direktīvas 2023/1971 15.panta 1.punkts paredz, ka</w:t>
            </w:r>
            <w:r w:rsidR="00000000" w:rsidRPr="00000000" w:rsidDel="00000000">
              <w:rPr>
                <w:i w:val="1"/>
                <w:rtl w:val="0"/>
              </w:rPr>
              <w:t xml:space="preserve"> katra dalībvalsts skaidri nosaka un publicē vispārējos kritērijus, metodes un procedūras, lai noteiktu, pie kādiem to uzskata par tehniski neiespējamu vai izmaksu nelietderīgu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(turpmāk - Ministrija) vērš uzmanību, ka tā savā 29.08.2024 atzinumā izteica priekšlikumu Ekonomikas ministrijai izveidot metodiku arī attālināti nolasāmiem individuāliem skaitītājiem, kas mēra mājsaimniecības karstā ūdens patēriņu katrā ēkas vienībā. Izrietoši Ministrija joprojām aicina vai nu Ekonomikas ministrijai izstrādāt šo metodiku un precizēt anotāciju, ja Ekonomikas ministrija virza Noteikumu projekta 4. redakciju, vai atgriezties pie Noteikumu projekta 3. redakcijas, lai korekti transponētu Direktīvas 2023/1791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precizējumiem anotācijā Ministrija vērš uzmanību, ka nosakot iespējamību ekonomiskā pamatojuma dēļ neuzstādīt jaunos individuālos karstā ūdens skaitītājus attālināti nolasāmus, tas rada pretrunas anotācijas skaidrojumā par precīzas un pārredzamas informācijas sniegšanu, siltumenerģijas patēriņa ietaupījumu, ūdens zuduma risinājumiem, vienlaicīgu un objektīvu rādījumu nolasīšanu, savlaicīgu ūdens noplūdi (avārijas situācijas) risināšanu un dzīvokļu īpašniekiem iespēju taisnīgi maksāt par karstā ūdens individuālo faktisko patēriņu, un citiem ieguvumiem.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jauna uzstādītie individuālie skaitītāji, kas mēra mājsaimniecības karstā ūdens patēriņu katrā ēkas vienībā, ir attālināti nolasāmi.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Notikusi sanāksme ar KEM 5.decembrī, kuras laikā panākta vienošanās. Precizēta redakcija un anotācija, ņemot vērā, ka Direktīvas 2023/1791 16. panta 1.punkta prasību.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No jauna uzstādītie individuālie skaitītāji, kas mēra mājsaimniecības karstā ūdens patēriņu katrā ēkas vienībā,  ir attālināti nolasāmi.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Individuāliem skaitītājiem, kas mēra mājsaimniecības karstā ūdens patēriņu katrā ēkas vienībā,  kas uzstādīti un nav attālināti nolasāmi, līdz 2027. gada 1. janvārim nodrošina attālinātu nolasāmību vai aizstāj tos ar attālināti nolasāmiem, ja tas ir ekonomiski pamatoti.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13. septembra Direktīva (ES) 2023/1791 par energoefektivitāti un ar ko groza Regulu (ES) 2023/955 (pārstrādāta redakcija) (turpmāk - Direktīva 2023/1791) nosaka, ka Direktīvas 16. panta 2. punktu ir iespējams nepiemērot "</w:t>
            </w:r>
            <w:r w:rsidR="00000000" w:rsidRPr="00000000" w:rsidDel="00000000">
              <w:rPr>
                <w:i w:val="1"/>
                <w:rtl w:val="0"/>
              </w:rPr>
              <w:t xml:space="preserve">ja, attiecīgā dalībvalsts ir pierādījusi, ka tas nav izmaksu ziņā lietderīgi.</w:t>
            </w:r>
            <w:r w:rsidR="00000000" w:rsidRPr="00000000" w:rsidDel="00000000">
              <w:rPr>
                <w:rtl w:val="0"/>
              </w:rPr>
              <w:t xml:space="preserve">" Lai pārņemtu Direktīvas 2023/1791 prasības, lūdzam skaidrot, kā Ekonomikas ministrija plāno pierādīt izmaksu (ne)lietderīgumu vai kā tiks veikts valsts līmeņa pētījums par mājsaimniecības karstā ūdens skaitītāju attālinātās nolasīšanas izmaksu (ne)lietderību. Ņemot vērā, ka šobrīd katrā ēkas vienībā (dzīvoklī, nedzīvojamā telpā un mākslinieka darbnīcā) uzstādītie ūdens (tai skaitā karstā ūdens) skaitītāji ir jāverificē saskaņā ar normatīvajiem aktiem par metroloģiskajām prasībām ūdens patēriņa skaitītājiem un mērīšanas līdzekļiem un to metroloģiskās kontroles kārtību. Piemērojamais pārejas periods ir pietiekams Noteikuma projekta prasību piemērošanā un uzpildē.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Ministrija vērš uzmanību, ka nosakot iespējamību ekonomiskā pamatojuma dēļ neuzstādīt jaunos individuālos karstā ūdens skaitītājus attālināti nolasāmus vai esošos darīt par attālināti nolasāmiem, tas rada pretrunas anotācijas skaidrojumā par precīzas un pārredzamas informācijas sniegšanu, siltumenerģijas patēriņa ietaupījumu, ūdens zuduma risinājumiem, vienlaicīgu un objektīvu rādījumu nolasīšanu, savlaicīgu ūdens noplūdi (avārijas situācijas) risināšanu un dzīvokļu īpašniekiem iespēju taisnīgi maksāt par karstā ūdens individuālo faktisko patēriņu, un citiem ieguvumiem.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Individuāliem skaitītājiem, kas mēra mājsaimniecības karstā ūdens patēriņu katrā ēkas vienībā,  kas uzstādīti un nav attālināti nolasāmi, līdz 2027. gada 1. janvārim nodrošina attālinātu nolasāmību vai aizstāj tos ar attālināti nolasāmiem.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Notikusi sanāksme ar KEM 5.decembrī, kuras laikā panākta vienošanās. Ekonomiskā pamatojuma aprēķināšanas metodika, ko varēs izmantot pārvaldnieks vai dzīvokļu īpašnieki, būs pieejama Ekonomikas ministrijas mājas lapā, sadaļā metodiskie ieteikumi. Ekonomiskā pamatojuma izvērtējums ir viens no aspektiem, kas ir nevis kā atsevišķs nosacījums, bet gan kā daļa no vispārējā novērtējuma.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Individuāliem skaitītājiem, kas mēra mājsaimniecības karstā ūdens patēriņu katrā ēkas vienībā,  kas uzstādīti un nav attālināti nolasāmi, līdz 2027. gada 1. janvārim nodrošina attālinātu nolasāmību vai aizstāj tos ar attālināti nolasāmiem, ja tas ir ekonomiski pamatoti.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Šo noteikumu 15. punkts stājas spēkā 2025. gada 12. oktobrī.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2023/1791 39. panta otrā daļa paredz, ka konkrētas direktīvas vienības, tostarp 14.-16. pantu, kā arī 18. pantu piemēro no 2025. gada 12. oktobra. Attiecīgi lūdzam izvērtēt un skaidrot, kādēļ atlikta spēkā stāšanās (proti, 2025. gada 12. oktobrī) paredzēta tikai noteikumu 15. punktā ietvertajai prasībai. Lūdzam izvērtēt nepieciešamību precizēt projektu, nosakot arī citu vienību vai visa projekta atliktu spēkā stāšanos vai piemērošanu, un vai nu precizēt projektu vai sniegt pamatotu skaidrojumu, īpaši kontekstā ar anotācijā ietverto skaidrojumu, ka "</w:t>
            </w:r>
            <w:r w:rsidR="00000000" w:rsidRPr="00000000" w:rsidDel="00000000">
              <w:rPr>
                <w:i w:val="1"/>
                <w:rtl w:val="0"/>
              </w:rPr>
              <w:t xml:space="preserve">jaunuzstādītiem skaitītājiem jābūt attālināti nolasāmiem atbilstoši 2012. gada 25. oktobra Eiropas Parlamenta un Padomes Direktīva 2012/27/ES (2012. gada 25. oktobris) par energoefektivitāti, ar ko groza Direktīvas 2009/125/EK un 2010/30/ES un atceļ Direktīvas 2004/8/EK un 2006/32/EK </w:t>
            </w:r>
            <w:r w:rsidR="00000000" w:rsidRPr="00000000" w:rsidDel="00000000">
              <w:rPr>
                <w:rtl w:val="0"/>
              </w:rPr>
              <w:t xml:space="preserve">[turpmāk - Direktīva 2012/27/ES]</w:t>
            </w:r>
            <w:r w:rsidR="00000000" w:rsidRPr="00000000" w:rsidDel="00000000">
              <w:rPr>
                <w:i w:val="1"/>
                <w:rtl w:val="0"/>
              </w:rPr>
              <w:t xml:space="preserve"> 9.c panta pirmajai daļai </w:t>
            </w:r>
            <w:r w:rsidR="00000000" w:rsidRPr="00000000" w:rsidDel="00000000">
              <w:rPr>
                <w:i w:val="1"/>
                <w:u w:val="single"/>
                <w:rtl w:val="0"/>
              </w:rPr>
              <w:t xml:space="preserve">no 2020. gada 25. oktobra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Citastarp vēršam uzmanību, ka, ja projektā faktiski ir pārņemtas Direktīvas 2012/27/ES prasības, nepieciešams papildināt anotācijas 5.1. sadaļu un 5.4. sadaļas 1. tabulu ar informāciju par Direktīvas 2012/27/ES prasību pārņemšanu projekta konkrētās vienībās.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5.1. sadaļa un 5.4. sadaļas 1. tabula ar informāciju par Direktīvas 2012/27/ES prasību pārņemšanu projekta konkrētās vienībās.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siltumenerģijas uzskaites iespējām esošajā regulējumā jau noteikts, ka patērētās siltumenerģijas uzskaitē izmanto attālināti nolasāmas ierīces (projekta 5.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par jaunuzstādītiem individuāliem skaitītājiem, kas mēra mājsaimniecības karstā ūdens patēriņu katrā ēkas vienībā, obligāti tiek noteikta no 2025. gada 12. oktobra saskaņā ar Direktīvas 2023/1791 39. pantā noteikto datumu un sniedzot iespēju pārvaldniekiem un dzīvokļu īpašniekiem laiku, izvērtēt mājas tehnisko iespējamību, maksātspēju un sagatavoties prasībai. Tajā pat laikā nav liegts jau šobrīd uzstādīt attālināti nolasāmas ierīces. Piemēram, Ministru kabineta 2015. gada 15. septembra noteikumos Nr. 524 "Kārtība, kādā nosaka, aprēķina un uzskaita katra dzīvojamās mājas īpašnieka maksājamo daļu par dzīvojamās mājas uzturēšanai nepieciešamajiem pakalpojumiem" 14.punktā noteikts, ka pārvaldnieks informē dzīvojamās mājas īpašniekus par nepieciešamajiem pasākumiem ūdens patēriņa starpības samazināšanai un kopā ar dzīvojamās mājas īpašniekiem izvērtē iespēju tos īstenot.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5.1. un 5.4. sadaļas ar Direktīvas 2012/27/ES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Šo noteikumu 15. punkts stājas spēkā 2025. gada 12. oktobrī.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2020. gada 10. decembra noteikumos Nr. 730 "Ekspluatējamu ēku energoefektivitātes minimālās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jaunam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atbildīgo iestādi par noteikumu ievērošanas uzraudzību, tai skaitā ekonomisko pamatojumu uzraudzību.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uzraudzības jautājumu, šādi grozījumi izdodami atbilstoši pilnvarojumam, ko neparedz izskatāmie noteikumi, tādēļ netiek paplašinātas iestāžu funkcijas minētajā jautājumā.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2020. gada 10. decembra noteikumos Nr. 730 "Ekspluatējamu ēku energoefektivitātes minimālās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punktu, kas noteiks rīcību gadījumā, ja ēka neatbilst energoefektivitātes minimālajām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Aizliegt ēkas telpu iznomāšanu;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Uzlikt par pienākumu ēkas pārvaldniekam veikt ēkas energosertifikāciju, kuras laikā tiks sagatavots pārskats par ekonomiski pamatotiem ēkas norobežojošo konstrukciju un inženiersistēmu energoefektivitāti uzlabojošiem pasākumiem, kuru īstenošanas izmaksas ir rentablas paredzamajā (plānotajā) kalpošanas laikā, iekļaujot aprēķinus par šo pasākumu atmaksāšanās termiņiem, un iepazīstināt ēkas telpu īpašniekus ar energosertifikācijas rezultātiem.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veikt ēkas energosertifikāciju noteikts Ēku energoefektivitātes likuma 7. un 13. pantā un Dzīvojamo māju pārvaldīšanas likuma 6. panta otrās daļas 1. punkta f) apakšpunktā noteikts, ka viena no obligāti veicamajām pārvaldīšanas darbībām ir dzīvojamās mājas energoefektivitātes uzlabošanas pasākumu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tiks ņemts vērā, transponējot 2024. gada 24. aprīļa Eiropas Parlamenta un Padomes direktīvas (ES) 2024/1275 par ēku energosniegumu (pārstrādāta redakcija) prasības un virzot attiecīgos grozījumus.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2020. gada 10. decembra noteikumos Nr. 730 "Ekspluatējamu ēku energoefektivitātes minimālās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noteikumu projektu, salāgojot to ar  Eiropas Parlamenta un Padomes direktīvā (ES) 2024/1275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24. aprīlis)  par ēku energosniegumu (turpmāk - Direktīva) noteiktajām prasībām, tai skaitā, atbilstoši Direktīvas 9., 10., un 13.pantos ietvertajām prasībām un noteiktajiem termiņiem ēku automatizācijas un vadības sistēmu ieviešanā.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tiks ņemts vērā, transponējot 2024. gada 24. aprīļa Eiropas Parlamenta un Padomes direktīvas (ES) 2024/1275 par ēku energosniegumu (pārstrādāta redakcija) prasības un virzot attiecīgos grozījumus.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dzīvokļu īpašnieku tiesībām gadījumā, ja kopība ir pieņēmusi lēmumu, par attālināti nolasāmu individuālu siltumenerģijas patēriņa skaitītāju vai attālināti nolasāmu individuālie karstā ūdens patēriņa skaitītāju uzstādīšanu, pamatojoties uz pārvaldītāja kļūdaini vai kā citādi nepilnīgi vai neobjektīvi noteikto ekonomisko pamatojumu attālināti nolasāmu individuālu siltumenerģijas patēriņa skaitītāju vai attālināti nolasāmu individuālo karstā ūdens patēriņa skaitītāju uzstādīšanai. Vienlaikus vēršam uzmanību, ka šādos gadījumos strīdu risināšana vispārējā kārtībā (vispārējās jurisdikcijas tiesā) nav efektīvs risinājums, kā arī lūdzam ietvert anotācijā skaidrojumu par pārvaldītāja pienākumu izskaidrot kopībai ekonomisko pamatojumu skaitītāju uzstādīšanai un pārvaldītāja atbildību. Papildus minētajam aicinām izvērtēt iespēju kopības lēmumu par individuālu siltumenerģijas patēriņa skaitītāju un attālināti nolasāmu individuālie karstā ūdens patēriņa skaitītāju uzstādīšanu neattiecināt uz lēmumiem, kurus kopība var pieņemt, ja "par" nobalso vairāk nekā puse no atkārtotajā kopsapulcē pārstāvēto dzīvokļu īpašumu īpašniekiem ("mazākuma balsojums").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kopība ir pieņēmusi lēmumu par attālināti nolasāmu individuālu siltumenerģijas patēriņa skaitītāju vai attālināti nolasāmu individuālo karstā ūdens patēriņa skaitītāju uzstādīšanu, pamatojoties uz pārvaldītāja kļūdaini vai kā citādi nepilnīgi vai neobjektīvi noteikto ekonomisko pamatojumu attālināti nolasāmu individuālu siltumenerģijas patēriņa skaitītāju vai attālināti nolasāmu individuālo karstā ūdens patēriņa skaitītāju uzstādīšanai, dzīvojamās mājas īpašnieki pēc savas iniciatīvas var no jauna ierosināt lēmuma pieņemšanu. Tajā pat laikā dzīvokļu īpašnieku kopībai ir atbildīgi un kritiski jāizvērtē pārvaldnieka  sniegtā dokumentācija par tehnisko iespējamību un izmaksu lietderību, ņemot vērā, ka saskaņā ar Dzīvojamo māju pārvaldīšanas likuma 5.pantu dzīvojamās mājas pārvaldīšanas nodrošināšana ir dzīvojamās mājas īpašnieka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Pārvaldnieks informē dzīvokļu īpašnieku kopību par veikto tehnisko un ekonomisko izvērtējumu un mājas aprakstošo situāciju. Izrietoši dzīvokļu īpašnieku kopība lemj par skaitītāju uzstādīšanu visā ēkā. Izvērtējumam jābūt dokumentētam un pievienotam mājas lietā.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īpašuma likumā noteiktais par atkārtotu dzīvokļu īpašnieku lēmumu pieņemšana ar mazākuma balsojumu (ja sākotnējā dzīvokļu īpašnieku kopsapulce nav lemttiesīga) ir, lai tiktu uzlabota dzīvokļu īpašnieku aktivitāte un iespējas lēmumu pieņemšanā attiecībā uz dzīvojamās mājas pārvaldīšanu un atbilstošu uzturēšanu. Vienlaikus, aktīvo dzīvokļu īpašnieku skaits, kuri vēlas veikt uzlabojumus, joprojām daudzos gadījumos ir mazākumā attiecībā pret dzīvokļu īpašniekiem, kuri ir pasīvi. Līdz ar to, šāds regulējums nepieciešams, lai veicinātu dzīvojamo ēku atjaunošanu un atbilstošu uzturēšanu, ņemot vērā, ka Latvijas dzīvojamais fonds ir novecojis, kā arī to, ka Latvijai kā Eiropas Savienības dalībvalstij ir saistoši Eiropas Savienībā izvirzītie mērķi virzībā uz klimatneitralitāti 2050. gadā. Ņemot vērā, ka jautājumos, kas skar visu dzīvokļu īpašnieku intereses, to ir tiesīga pieņemt dzīvokļu īpašnieku daļa, kas atrodas mazākumā, ir atsevišķi drošības mehānismi lēmuma pieņemšanas procesā, lai izskaustu dzīvokļu īpašnieku mazākuma negodprātīgas rīcības riskus. Lēmuma atliktā spēkā stāšanās galvenais mērķis ir nepieļaut tūlītēju iespējamību šādu pieņemtu lēmumu izpildīt, piemēram, pieņemot lēmumu par kādu darbu veikšanu, kam ir liela finansiālā ietekme uz kopības mantu, taču pieņemtais lēmums pēc savas būtības nav vērsts uz dzīvojamās mājas pienācīgu uzturēšanu, tas nav izsvērts un ekonomiski pamatots. Līdz ar to, šādas tiesību normas mērķis ir radīt samērīgu mehānismu starp dzīvokļu īpašnieku vairākumu, kas konkrētajā situācijā ir pasīvs un mazākuma interesēm, dodot mazākumam tiesības lemt, taču vienlaikus dodot laiku vairākumam reaģēt uz šādu pieņemto, bet vēl spēkā nestājušos lēmumu, piemēram, lūdzot tiesai pagaidu aizsardzības līdzekli - pagaidu noregulējumu. Ar šādu tiesību normu par pieņemtā lēmuma atlikto spēkā stāšanos mērķis nav nodrošināt dzīvokļu īpašnieku mazākumam apiet vairākuma intereses, bet gan dot iespēju rīkoties visas kopības interesēs, ņemot vērā, ka dzīvokļu īpašnieku vairākums ir pasīvs.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visā Anotācijā atsauci, ja attiecināms, uz Eiropas Parlamenta un Padomes 2023. gada 13. septembra direktīvas (ES) 2023/1791 par energoefektivitāti un ar ko groza Regulu (ES) 2023/955 (pārstrādātā redakcija) (turpmāk - Direktīvas Nr.2023/1791) preambulas punktiem par galalietotājiem un individuāliem skaitītājiem. Piemēram, anotācijas 1.3. sadaļā ir dota nekorekta atsauce uz Direktīvas Nr.2023/1791 vai preambulas punktu. Proti, norādīts “Direktīvas 2023/1791 15. panta 1.punkts, kuru, skatot pēc gramatiskās metodes, varētu vērtēt kā prasību uzstādīt individuālā patēriņa uzskaites ierīces vai iekārtas secīgā kārtībā, skatāms kopsakarā ar preambulā pausto nostāju.” Aiz šī teksta seko paskaidrojums un vairākas atsauces uz preambulas punktiem (26. punkts, 28. punkts, 30.punkts), bet attiecīgās Direktīvas Nr.2023/1791 minētajos preambulas punktos ir sniegta cita veida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daļa no anotācijas 1.1. apakšsadaļā ietvertās informācijas (piemēram, par metodikas izstrādes attālināti nolasāmiem individuāliem skaitītājiem, kas mēra mājsaimniecības karstā ūdens patēriņu katrā ēkas vienībā, nesamērīgumu) ir attiecināma uz izvēlētā risinājuma skaidrojumu, attiecīgi aicinām izvērtēt iespēju attiecīgo informāciju pārvietot uz anotācijas 1.3. apakšsadaļas risinājuma 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no anotācijas 1.1. apakšsadaļas daļēji pārvietota uz 1.3. apakšsadaļu.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skaidrot, kuru Ēku energoefektivitātes likuma 4. panta otrajā daļā ietverto pilnvarojuma punktu un kā tieši izpilda projekta 1. punktā izteiktais noteikumu 5.1. apakšpunkts un ar to saistītais regulējums attiecībā uz pienākumu daudzdzīvokļu mājā uzstādīt individuālos skaitītājus, kas mēra mājsaimniecības karstā ūdens patēriņu katrā ēkas vienībā, izņemot, ja tas nav tehniski iespējams vai ekonomiski pamatoti.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energoefektivitātes likuma 4. panta otrajā daļa  nosaka ekspluatējamu ēku minimālās energoefektivitātes prasības, kas paredz enerģijas patēriņa līmeņa un primārās enerģijas patēriņa līmeņa samazināšanu, ko ietekmē ne tikai siltumenerģijas uzskaites ierīces, bet arī individuālie skaitītāji, kas mēra mājsaimniecības karstā ūdens patēriņu katrā ēkas vienībā.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anotācijā ietverto skaidrojumu atbilstoši piedāvātajai redakcijai vai citādi korekti precizēt skaidrojumu.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2023/1791 16. pantā noteikta prasība, ka līdz 2027. gada 1. janvārim skaitītājus, kas nav attālināti  nolasāmi, bet ir jau uzstādīti, dara attālināti nolasāmus vai aizstāj ar attālināti nolasāmām ierīcēm</w:t>
            </w:r>
            <w:r w:rsidR="00000000" w:rsidRPr="00000000" w:rsidDel="00000000">
              <w:rPr>
                <w:b w:val="1"/>
                <w:u w:val="single"/>
                <w:rtl w:val="0"/>
              </w:rPr>
              <w:t xml:space="preserve">. V</w:t>
            </w:r>
            <w:r w:rsidR="00000000" w:rsidRPr="00000000" w:rsidDel="00000000">
              <w:rPr>
                <w:rtl w:val="0"/>
              </w:rPr>
              <w:t xml:space="preserve">isiem jaunuzstādītiem skaitītājiem jābūt attālināti nolasāmiem atbilstoši 2012. gada 25. oktobra Eiropas Parlamenta un Padomes Direktīva 2012/27/ES (2012. gada 25. oktobris) par energoefektivitāti, ar ko groza Direktīvas 2009/125/EK un 2010/30/ES un atceļ Direktīvas 2004/8/EK un 2006/32/EK 9.c panta pirmajai daļai no 2020. gada 25. oktobra.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atkārtoti izvērtēt un precizēt anotācijā ietverto skaidrojumu par </w:t>
            </w:r>
            <w:r w:rsidR="00000000" w:rsidRPr="00000000" w:rsidDel="00000000">
              <w:rPr>
                <w:i w:val="1"/>
                <w:rtl w:val="0"/>
              </w:rPr>
              <w:t xml:space="preserve">Eiropas Parlamenta un Padomes 2023. gada 13. septembra direktīvas (ES) 2023/1791 par energoefektivitāti un ar ko groza Regulu (ES) 2023/955 (pārstrādātā redakcija) </w:t>
            </w:r>
            <w:r w:rsidR="00000000" w:rsidRPr="00000000" w:rsidDel="00000000">
              <w:rPr>
                <w:rtl w:val="0"/>
              </w:rPr>
              <w:t xml:space="preserve">(turpmāk – Direktīva 2023/1791) 15. panta 1. punktā ietvertās prasības un tai atbilstošās </w:t>
            </w:r>
            <w:r w:rsidR="00000000" w:rsidRPr="00000000" w:rsidDel="00000000">
              <w:rPr>
                <w:i w:val="1"/>
                <w:rtl w:val="0"/>
              </w:rPr>
              <w:t xml:space="preserve">Eiropas Parlamenta un Padomes 2012. gada 25. oktobra Direktīvas 2012/27/ES par energoefektivitāti, ar ko groza Direktīvas 2009/125/EK un 2010/30/ES un atceļ Direktīvas 2004/8/EK un 2006/32/EK</w:t>
            </w:r>
            <w:r w:rsidR="00000000" w:rsidRPr="00000000" w:rsidDel="00000000">
              <w:rPr>
                <w:rtl w:val="0"/>
              </w:rPr>
              <w:t xml:space="preserve"> (turpmāk - Direktīva 2012/27/ES) prasības pārņemšanas pilnīgumu un korektumu. Vēršam uzmanību, ka anotācijā citētie Direktīvas 2023/1791 preambulas punkti attiecīga satura skaidrojumu neparedz. Papildus saistībā ar izziņas 17. punktā ietverto skaidrojumu ("</w:t>
            </w:r>
            <w:r w:rsidR="00000000" w:rsidRPr="00000000" w:rsidDel="00000000">
              <w:rPr>
                <w:i w:val="1"/>
                <w:rtl w:val="0"/>
              </w:rPr>
              <w:t xml:space="preserve">Latvija līdz ar citām ES valstīm ir pieņēmusi politikas pasākumus energoefektivitātes tehnoloģiju attīstības veicināšanai [..], līdz ar to </w:t>
            </w:r>
            <w:r w:rsidR="00000000" w:rsidRPr="00000000" w:rsidDel="00000000">
              <w:rPr>
                <w:i w:val="1"/>
                <w:u w:val="single"/>
                <w:rtl w:val="0"/>
              </w:rPr>
              <w:t xml:space="preserve">Direktīvas 2023/1791 15. panta 1. punta gramatiskais formulējums būtu pretrunā ar iepriekš minēto politiku</w:t>
            </w:r>
            <w:r w:rsidR="00000000" w:rsidRPr="00000000" w:rsidDel="00000000">
              <w:rPr>
                <w:i w:val="1"/>
                <w:rtl w:val="0"/>
              </w:rPr>
              <w:t xml:space="preserve">.</w:t>
            </w:r>
            <w:r w:rsidR="00000000" w:rsidRPr="00000000" w:rsidDel="00000000">
              <w:rPr>
                <w:rtl w:val="0"/>
              </w:rPr>
              <w:t xml:space="preserve">") norādām, ka Eiropas Savienības tiesiskajā regulējumā, tostarp Direktīvā 2023/1791 un Direktīvā 2012/27/ES, ietvertās prasības Latvijai ir saistošas un nacionālajos normatīvajos aktos jāpārņem jebkurā gadījumā. Attiecīgi atkārtoti aicinām izvērtēt projekta atbilstību iepriekš minētajām direktīvu normām, un izvērstāk skaidrot to pārņemšanas pilnīgumu un korektumu. Ja nepieciešams,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5. panta redakcija, ietverot minētās direktīvas vienības gramatisko formulējumu.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ietvert izziņas 9. punktā sniegto skaidrojumu par projektā ietvertā pienākuma daudzdzīvokļu mājā uzstādīt individuālos skaitītājus, kas mēra mājsaimniecības karstā ūdens patēriņu katrā ēkas vienībā, izņemot, ja tas nav tehniski iespējams vai ekonomiski pamatoti, un ar to saistītā regulējuma atbilstību Ēku energoefektivitātes likuma 4. panta otrajā daļā paredzētajam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ietverts 1.3. apakšsadaļā.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Vienotā tiesību aktu projektu izstrādes un saskaņošanas portālā pieejamās informācijas izriet, ka grozījumi Ministru kabineta 2015. gada 15. septembra noteikumos Nr. 524 "Kārtība, kādā nosaka, aprēķina un uzskaita katra dzīvojamās mājas īpašnieka maksājamo daļu par dzīvojamās mājas uzturēšanai nepieciešamajiem pakalpojumiem" ir saskaņošanas stadijā (24-TA-729) un vēl nav pieņemti. Attiecīgi aicinām atjaunot anotācijas 4.1. apakšsadaļā ietverto informāciju. Papildus aicinām izvērtēt, vai nav nepieciešams noteikt šajā projektā un projektā 24-TA-729 ietverto normu, kas ir savstarpēji saistītas, vienādu spēkā stāšanās datumu. Ja nepieciešams, aicinām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Atjaunota anotācijas 4.1. apakšsadaļa. Tiesību aktu projekti 24-TA-729 un 24-TA-1244 tiek virzīti vienlaicīgi uz saskaņošanu, lai nodrošinātu vienādu spēkā stāšanās datumu.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4.1. sadaļā ietverta informācija nevis par saistīto tiesību akta projektu, bet gan šī projekta izstrādes pamatojumu un jau ir ietverta anotācijas 1.1. sadaļā, aicinām to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anotācijas 4.1.sadaļa.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Tabulā sniegta norāde uz Eiropas Parlamenta un Padomes 2023. gada 13. septembra direktīvas (ES) 2023/1791 par energoefektivitāti un ar ko groza Regulu (ES) 2023/955 (pārstrādātā redakcija) (turpmāk - Direktīvas Nr.2023/1791) pantiem un punktiem, kurus neskar šis Noteikumu projekts. Lūdzam pārskatīt tabulu un precizēt to, vai sniegt skaidrojumu kādēļ minēti Direktīvas Nr. 2023/1791 panti un nacionālie tiesību akti, kas nav attiecināmi uz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5.4. 1.tabula, informācija pievienota (cita informācija"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izziņas 1. punktā ietverto skaidrojumu par Direktīvas 2023/1791 14.-16., kā arī 18. panta prasību attiecībā uz aukstumapgādi pārņemšanu ietvert anotācijas 5.4. apakšsadaļas 1. tabulā. Proti, aicinām precizēt tabulu, norādot izziņā ietverto informāciju par minēto direktīvas prasību pilnīgu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projekta vienību numerācijas izmaiņas, aicinām tehniski precizēt tabulā norādītās projekta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par aukstumapgādi ietverts anotācijas 5.4. apakšsadaļā.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izvērtēt projekta 1. punktā ietvertā noteikumu 5. punkta atbilstību </w:t>
            </w:r>
            <w:r w:rsidR="00000000" w:rsidRPr="00000000" w:rsidDel="00000000">
              <w:rPr>
                <w:rtl w:val="0"/>
              </w:rPr>
              <w:t xml:space="preserve">Direktīvas 2023/1791 15. panta 1. punktam, ņemot vērā Tieslietu ministrijas 2024. gada 23. augusta iebildumā paustos apsvērumus, tostarp par minētās direktīvas vienības gramatisko formulējumu, un, ja nepieciešams, precizēt projektu. Aicinām izziņā sniegtos skaidrojumus ietvert anotācijā. Papildus aicinām anotācijā izvērstāk skaidrot, vai Direktīvas 2023/1791 15. panta 1. punktam un direktīvas mērķim kopumā ir atbilstoša iespēja neuzstādīt </w:t>
            </w:r>
            <w:r w:rsidR="00000000" w:rsidRPr="00000000" w:rsidDel="00000000">
              <w:rPr>
                <w:u w:val="single"/>
                <w:rtl w:val="0"/>
              </w:rPr>
              <w:t xml:space="preserve">nevienu</w:t>
            </w:r>
            <w:r w:rsidR="00000000" w:rsidRPr="00000000" w:rsidDel="00000000">
              <w:rPr>
                <w:rtl w:val="0"/>
              </w:rPr>
              <w:t xml:space="preserve"> no noteikumu 5. punktā minētajām ierīcēm, ja minēto ierīču uzstādīšana nav tehniski iespējama vai nav ekonomiski pamatota.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sniegtais skaidrojums ietverts un izvērsts anotācijas 1.3. apakšpunktā, kur Direktīvas 2023/1791 15. panta 1.punkts skatīts kopsakarā ar preambulā minēto. Latvija līdz ar citām ES valstīm ir pieņēmusi politikas pasākumus energoefektivitātes tehnoloģiju attīstības veicināšanai (avots: https://www.lzp.gov.lv/lv/projekts/energoefektivitates-ricibpolitikas-novertejums-un-analize) (minēts tiesību akta TA-24-729 anotācijā), līdz ar to Direktīvas 2023/1791 15. panta 1. punta gramatiskais formulējums būtu pretrunā ar iepriekš minēto politiku.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5.4. apakšsadalas 1. tabulā ietvert visus izziņas 1., 4. un 6. punktā sniegto skaidrojumu par Direktīvas 2023/1791 vienību (tostarp 14. panta,15. panta un 18. panta apakšvienību) pārņemšanu un rīcības brīvības izmantošanu, jo pašreiz tabulā ietverta tikai daļa no izziņā sniegtajiem skaidrojumiem. Papildus aicinām korekti skaidrot Direktīvas 2023/1791 18. panta 2. punkta otrajā daļā paredzētās rīcības brīvības izmantošanu, proti, nevis norādot, ka "prasība nav saistoša, jo paredz izvēles brīvību un nav obligāti transponējama", bet gan pēc būtības skaidrojot, vai rīcības brīvība ir izmantota un kādi ir rīcības brīvības izmantošanas vai neizmantošanas apsvērumi.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tehniski precizēt tabulu (proti, aizpildīt attiecīgo tabulas daļu vai citādi precizēt apakšsadaļu par Eiropas Parlamenta un Padomes 2012. gada 25. oktobra Direktīvas 2012/27/ES par energoefektivitāti, ar ko groza Direktīvas 2009/125/EK un 2010/30/ES un atceļ Direktīvas 2004/8/EK un 2006/32/EK Dokuments attiecas uz EEZ (turpmāk - Direktīva 2012/27/ES) prasību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apakšsadaļas 1. tabula papildināta par Direktīvas 2023/1791 vienību pārņemšanu un tehniski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2023/1791 18. panta  2. punkta otrās daļas (Direktīvas Nr. 2012/27/ES 10.a panta 2.punkta otrās daļas) nosacījumi nav ietverti Ministru kabineta 2008. gada 21. oktobra noteikumos Nr. 876 “Siltumenerģijas piegādes un lietošanas noteikumi”, kas nosaka, ka rēķina izrakstīšana ir uzskatāma par maksājuma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apsvērt iespēju arī 5.4.1. tabulā minētajos Ministru kabineta 2015. gada 30. jūnija noteikumi Nr. 332 „Latvijas būvnormatīvs LBN 221-15 “Ēku iekšējais ūdensvads un kanalizācija” iekļaut attālinātās nolasīšanas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tiks izvērtēts izskatot Ministru kabineta 2015. gada 30. jūnija noteikumu Nr. 332 „Latvijas būvnormatīvs LBN 221-15 “Ēku iekšējais ūdensvads un kanalizācija” grozījumu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Ekspluatējamu ēku energoefektivitātes minimālās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jaunam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atbildīgo iestādi par noteikumu ievērošanas uzraudzību, tai skaitā ekonomisko pamatojumu uzraudzību.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uzraudzības jautājumu, šādi grozījumi izdodami atbilstoši pilnvarojumam, ko neparedz izskatāmie noteikumi, tādēļ netiek paplašinātas iestāžu funkcijas minētajā jautājumā.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Ekspluatējamu ēku energoefektivitātes minimālās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Ēka uzskatāma par atbilstošu enerģijas patēriņa līmeņa un primārās enerģijas patēriņa līmeņa minimālajām prasībām, ja tās energoefektivitātes klases rādītājs saskaņā ar normatīvajiem aktiem ēku energosertifikācijas jomā atbilst E klasei vai augstākai klasei.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MKn projektu ar nosacījumiem 2. punkta piemērošanai, kontrolei un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definēta norma, kura nav piemērojama.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minētais punkts netiek grozīts ar minēto projektu. Informējam, ka LLPA priekšlikums ir saistāms ar Eiropas Parlamenta un Padomes Direktīvas (ES) 2024/1275 (2024. gada 24. aprīlis) par ēku energosniegumu (pārstrādāta redakcija) pārņemšanu, kas ir atsevišķs process un attiecīgie grozījumi tiks virzīti direktīvas pārņemšanas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uzraudzības jautājumu, šādi grozījumi izdodami atbilstoši pilnvarojumam, ko neparedz izskatāmie noteikumi, tādēļ netiek paplašinātas iestāžu funkcijas minētajā jautājumā.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Ēka uzskatāma par atbilstošu enerģijas patēriņa līmeņa un primārās enerģijas patēriņa līmeņa minimālajām prasībām, ja tās energoefektivitātes klases rādītājs saskaņā ar normatīvajiem aktiem ēku energosertifikācijas jomā atbilst E klasei vai augstākai klasei.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nosaka vidējo siltumenerģijas patēriņu pēdējos trijos kalendāra gados, ņemot vērā ēkas aprēķina platību.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nosaka vidējo siltumenerģijas patēriņu pēdējos trijos kalendāra gados, ņemot vērā </w:t>
            </w:r>
            <w:r w:rsidR="00000000" w:rsidRPr="00000000" w:rsidDel="00000000">
              <w:rPr>
                <w:b w:val="1"/>
                <w:rtl w:val="0"/>
              </w:rPr>
              <w:t xml:space="preserve">ēkas references platību.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222: References platība - References grīdas platība saskaņā ar standarta LVS EN ISO 52000-1:2020 9.4.3. punktu.)  Aprēķina platība - vairs nav tāds jēdziens ēku energoefektivitātes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Koriģēts jēdziens, mainot uz ēkas references platība.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nosaka vidējo siltumenerģijas patēriņu pēdējos trijos kalendāra gados, ņemot vērā ēkas references platību.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nosaka vidējo ēkas energoresursu patēriņu pēdējos trijos kalendāra gados un šo patēriņu reizina ar primārās enerģijas faktoriem katram energonesējam. Primārās enerģijas faktorus nosaka atbilstoši normatīvajiem aktiem par ēkas energoefektivitātes aprēķina metodēm, un vidējo ēkas energoresursu patēriņu attiecina, ņemot vērā ēkas aprēķina platību.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222: References platība - References grīdas platība saskaņā ar standarta LVS EN ISO 52000-1:2020 9.4.3.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Aprēķina platība - vairs nav tāds jēdziens ēku energoefektivitātes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nosaka vidējo ēkas energoresursu patēriņu pēdējos trijos kalendāra gados un šo patēriņu reizina ar primārās enerģijas faktoriem katram energonesējam. Primārās enerģijas faktorus nosaka atbilstoši normatīvajiem aktiem par ēkas energoefektivitātes aprēķina metodēm, un vidējo ēkas energoresursu patēriņu attiecina, ņemot vērā ēkas </w:t>
            </w:r>
            <w:r w:rsidR="00000000" w:rsidRPr="00000000" w:rsidDel="00000000">
              <w:rPr>
                <w:b w:val="1"/>
                <w:rtl w:val="0"/>
              </w:rPr>
              <w:t xml:space="preserve">references 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Koriģēts jēdziens, mainot uz ēkas references platība.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Daudzdzīvokļu dzīvojamā mājā un nedzīvojamā ēkā patērēto siltumenerģiju uzskaita atsevišķi katrai dzīvojamo un nedzīvojamo telpu grupai. Patērētās siltumenerģijas uzskaitē izmanto attālināti nolasāmus individuālus siltumenerģijas patēriņa skaitītājus, ja tas ir tehniski iespējams un ekonomiski pamatoti. Ja individuālu skaitītāju izmantošana katrā ēkas vienībā nav tehniski iespējama vai nav ekonomiski pamatota, siltumenerģijas patēriņa mērīšanai izmanto individuālus siltummaksas sadalītājus, ar kuriem mēra siltumenerģijas patēriņu katrā radiatorā. Ja individuālu siltuma maksas sadalītāju uzstādīšana katram sildelementam nav tehniski iespējama vai nav ekonomiski pamatota, izmanto  siltumenerģijas patēriņa noteikšanas sistēmu, izmantojot tiešsaistē periodiski fiksētus siltumnesēja caurplūdes un apkures cauruļvadu virsmu temperatūras datus (turpmāk – siltumenerģijas patēriņa noteikšanas sistēma), ja tas ir tehniski iespējams  un ekonomiski pamatoti. Individuālie siltumenerģijas skaitītāji atbilst metroloģiskajām prasībām, kas noteiktas normatīvajos aktos par mērījumu vienotību, individuālie siltuma maksas sadalītāji atbilst prasībām, kas noteiktas standartā LVS EN 834+AC:2021 "Siltuma maksas sadalītāji dzīvokļa apsildes radiatoriem. Ierīces ar elektroenerģijas avotu", un siltumenerģijas patēriņa noteikšanas sistēma atbilst dzīvojamās mājas īpašnieku un radioiekārtu atbilstības novērtēšanas, piedāvāšanas tirgū, uzstādīšanas, lietošanas un uzraudzības regulējumā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13. septembra Direktīva (ES) 2023/1791 par energoefektivitāti un ar ko groza Regulu (ES) 2023/955 (pārstrādāta redakcija) (turpmāk - Direktīva 2023/1791) noteic, ka,</w:t>
            </w:r>
            <w:r w:rsidR="00000000" w:rsidRPr="00000000" w:rsidDel="00000000">
              <w:rPr>
                <w:i w:val="1"/>
                <w:rtl w:val="0"/>
              </w:rPr>
              <w:t xml:space="preserve"> ja individuālu skaitītāju izmantošana katrā ēkas vienībā nav tehniski iespējama vai nav izmaksu ziņā lietderīga, siltumenerģijas patēriņa mērīšanai izmanto individuālus siltummaksas sadalītājus, ar kuriem mēra siltumenerģijas patēriņu katrā radiatorā, ja vien attiecīgā dalībvalsts nav pierādījusi, ka šādu siltummaksas sadalītāju uzstādīšana nebūtu izmaksu ziņā lietderīga. Tādos gadījumos var apsvērt alternatīvas izmaksu ziņā lietderīgas metodes siltumenerģijas patēriņa uzskaitei. Katra dalībvalsts skaidri nosaka un publicē vispārējos kritērijus, metodes un procedūras, lai noteiktu, pie kādiem to uzskata par tehniski neiespējamu vai izmaksu nelietderīgu.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Klimata un enerģētikas ministrija (turpmāk - Ministrija) lūdz precizēt Noteikumu projektu svītrojot "ja ir tehniski iespējams un ekonomiski pamatoti" pie trešās, kas ir alternatīvā, metode. Ministrija varētu piekrist, ka ēkas (dzīvokļu īpašnieki vai to pilnvarotā persona) var veikt tehniskās iespējamības un izmaksu lietderības novērtējumu individuālu skaitītāju vai individuālus siltummaksas sadalītāju uzstādīšanai un izmantošanai, taču, nepiemērojot nevienu no iespējām (individuālie skaitītāji un tad individuālie siltummaksas sadalītāji), vienīgais variants ir valsts piedāvātā alternatīvu izmaksu ziņā lietderīga metode siltumenerģijas patēriņa uzskaitei, kas šajā Noteikumu projektā ir minēta kā siltumenerģijas patēriņa noteikšanas sistēma, izmantojot tiešsaistē periodiski fiksētus siltumnesēja caurplūdes un apkures cauruļvadu virsmu temperatūras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Daudzdzīvokļu dzīvojamā mājā un nedzīvojamā ēkā patērēto siltumenerģiju uzskaita atsevišķi katrai dzīvojamo un nedzīvojamo telpu grupai.Patērētās siltumenerģijas uzskaitē izmanto attālināti nolasāmus individuālus siltumenerģijas patēriņa skaitītājus, ja tas ir tehniski iespējams un ekonomiski pamatoti. Ja individuālu skaitītāju izmantošana katrā ēkas vienībā nav tehniski iespējama vai nav ekonomiski pamatota, siltumenerģijas patēriņa mērīšanai izmanto individuālus siltummaksas sadalītājus, ar kuriem mēra siltumenerģijas patēriņu katrā radiatorā. Ja individuālu siltuma maksas sadalītāju uzstādīšana katram sildelementam nav tehniski iespējama vai nav ekonomiski pamatota, izmanto siltumenerģijas patēriņa noteikšanas sistēmu, izmantojot tiešsaistē periodiski fiksētus siltumnesēja caurplūdes un apkures cauruļvadu virsmu temperatūras datus (turpmāk – siltumenerģijas patēriņa noteikšanas sistēma). Individuālie siltumenerģijas skaitītāji atbilst metroloģiskajām prasībām, kas noteiktas normatīvajos aktos par mērījumu vienotību, individuālie siltuma maksas sadalītāji atbilst prasībām, kas noteiktas standartā LVS EN 834+AC:2021 "Siltuma maksas sadalītāji dzīvokļa apsildes radiatoriem. Ierīces ar elektroenerģijas avotu", un siltumenerģijas patēriņa noteikšanas sistēma atbilst dzīvojamās mājas īpašnieku un radioiekārtu atbilstības novērtēšanas, piedāvāšanas tirgū, uzstādīšanas, lietošanas un uzraudzības regulējumā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būvnormatīva LBN 231-15 "Dzīvojamo un publisko ēku apkure un ventilācija", kas nosaka prasības, kas jāievēro, projektējot un ierīkojot jaunbūvējamo, atjaunojamo un pārbūvējamo dzīvojamo un publisko ēku apkures, ventilācijas un gaisa kondicionēšanas sistēmas, kā arī prasības cita lietošanas veida telpu apkures, ventilācijas un gaisa kondicionēšanas sistēmu projektēšanai un ierīkošanai dzīvojamās un publiskajās ēkās, 4.1. punktā noteikts, ka dzīvojamo un publisko ēku apsildīšanai primāri izmanto ekonomiski pamatotas apkures sistēmas ar individuālo siltumenerģijas uzskaiti un regulēšanu, kas nodrošina atjaunojamo energoresursu izmantošanu. Līdz ar to jaunbūvēs un dzīvojamās mājas renovācijas gadījumā, uzstādīt individuālās siltumenerģijas patēriņa ierīces vai iekārtas, ir obligāts nosacījums.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Situācijā, kad ēkā netiek plānota pārbūve, īpašniekiem jāizskata iespēja uzstādīt individuālās siltumenerģijas uzskaites ierīces vai iekārtas. Saskaņā ar Dzīvokļa īpašuma likuma 13.panta trešo daļu, pieņemot šā panta otrajā daļā minēto lēmumu (par pasākumiem, kuru rezultātā samazinās izdevumi par pakalpojumiem, kas saistīti ar dzīvokļa īpašuma lietošanu), pārvaldniekam vai citai pilnvarotai personai pirms dzīvokļu īpašnieku kopības lēmuma pieņemšanas, jāsagatavo dokumenti izvērtēšanai dzīvokļu īpašniekiem, kas apstiprina izmaksu efektivitāti atbilstoši mājas tehniskajam stāvoklim, potenciālās  patērētās siltumenerģijas daudzuma noteikšanai izmantotās ierīces vai iekārtas atbilstību normatīvajam regulējumam, un atbilstošu metodiku maksājamās daļas aprēķinam par siltumenerģiju. Tādējādi ir iespējams,  ka īpašnieki pieņem lēmumu par individuālu siltumenerģijas uzskaites ierīču neuzstādīšanu, izvērtējot ēkas tehnisko iespējamību un izmaksu lietderību, vai pieņem lēmumu par citiem pasākumiem, kuru rezultātā samazinās izdevumi par pakalpojumiem, un tiks veicināta energoefektivitāte.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Daudzdzīvokļu dzīvojamā mājā un nedzīvojamā ēkā patērēto siltumenerģiju uzskaita atsevišķi katrai dzīvojamo un nedzīvojamo telpu grupai, izmantojot šādus uzskaites veidus: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Daudzdzīvokļu dzīvojamā mājā un nedzīvojamā ēkā patērēto siltumenerģiju uzskaita atsevišķi katrai dzīvojamo un nedzīvojamo telpu grupai. Patērētās siltumenerģijas uzskaitē izmanto attālināti nolasāmus individuālus siltumenerģijas patēriņa skaitītājus, ja tas ir tehniski iespējams un ekonomiski pamatoti. Ja individuālu skaitītāju izmantošana katrā ēkas vienībā nav tehniski iespējama vai nav ekonomiski pamatota, siltumenerģijas patēriņa mērīšanai izmanto individuālus siltummaksas sadalītājus, ar kuriem mēra siltumenerģijas patēriņu katrā radiatorā. Ja individuālu siltuma maksas sadalītāju uzstādīšana katram sildelementam nav tehniski iespējama vai nav ekonomiski pamatota, izmanto  siltumenerģijas patēriņa noteikšanas sistēmu, izmantojot tiešsaistē periodiski fiksētus siltumnesēja caurplūdes un apkures cauruļvadu virsmu temperatūras datus (turpmāk – siltumenerģijas patēriņa noteikšanas sistēma), ja tas ir tehniski iespējams  un ekonomiski pamatoti. Individuālie siltumenerģijas skaitītāji atbilst metroloģiskajām prasībām, kas noteiktas normatīvajos aktos par mērījumu vienotību, individuālie siltuma maksas sadalītāji atbilst prasībām, kas noteiktas standartā LVS EN 834+AC:2021 "Siltuma maksas sadalītāji dzīvokļa apsildes radiatoriem. Ierīces ar elektroenerģijas avotu", un siltumenerģijas patēriņa noteikšanas sistēma atbilst dzīvojamās mājas īpašnieku un radioiekārtu atbilstības novērtēšanas, piedāvāšanas tirgū, uzstādīšanas, lietošanas un uzraudzības regulējumā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3. punktā ietvertās izmaiņas noteikumu 5. punktā, aicinām izvērtēt Eiropas Parlamenta un Padomes 2023. gada 13. septembra direktīvas (ES) 2023/1791 par energoefektivitāti un ar ko groza Regulu (ES) 2023/955 (pārstrādātā redakcija) (turpmāk – Direktīva 2023/1791) 16. panta 1. punktā ietvertās prasības un tai atbilstošās Eiropas Parlamenta un Padomes 2012. gada 25. oktobra Direktīvas 2012/27/ES par energoefektivitāti, ar ko groza Direktīvas 2009/125/EK un 2010/30/ES un atceļ Direktīvas 2004/8/EK un 2006/32/EK (turpmāk - Direktīva 2012/27/ES) prasības pārņemšanas pilnīgumu. Proti, aicinām izvērtēt un skaidrot, kā pilnībā pārņemta attiecīgā prasība: "</w:t>
            </w:r>
            <w:r w:rsidR="00000000" w:rsidRPr="00000000" w:rsidDel="00000000">
              <w:rPr>
                <w:i w:val="1"/>
                <w:rtl w:val="0"/>
              </w:rPr>
              <w:t xml:space="preserve">Direktīvas 14. un 15. panta nolūkā </w:t>
            </w:r>
            <w:r w:rsidR="00000000" w:rsidRPr="00000000" w:rsidDel="00000000">
              <w:rPr>
                <w:i w:val="1"/>
                <w:u w:val="single"/>
                <w:rtl w:val="0"/>
              </w:rPr>
              <w:t xml:space="preserve">jaunuzstādīti skaitītāji un siltummaksas sadalītāji ir attālināti nolasāmas</w:t>
            </w:r>
            <w:r w:rsidR="00000000" w:rsidRPr="00000000" w:rsidDel="00000000">
              <w:rPr>
                <w:i w:val="1"/>
                <w:rtl w:val="0"/>
              </w:rPr>
              <w:t xml:space="preserve"> ierīces. Piemēro tehniskās iespējamības un izmaksu lietderības nosacījumus, kas izklāstīti 15. panta 1. punktā.jaunuzstādīti skaitītāji un siltummaksas sadalītāji ir attālināti nolasāmas ierīces. Piemēro tehniskās iespējamības un izmaksu lietderības nosacījumus, kas izklāstīti 15. panta 1. punktā." </w:t>
            </w:r>
            <w:r w:rsidR="00000000" w:rsidRPr="00000000" w:rsidDel="00000000">
              <w:rPr>
                <w:rtl w:val="0"/>
              </w:rPr>
              <w:t xml:space="preserve">No projekta 3. punkta pašreizējās redakcijas neizriet, ka arī jaunuzstādīti </w:t>
            </w:r>
            <w:r w:rsidR="00000000" w:rsidRPr="00000000" w:rsidDel="00000000">
              <w:rPr>
                <w:u w:val="single"/>
                <w:rtl w:val="0"/>
              </w:rPr>
              <w:t xml:space="preserve">siltummaksas sadalītāji</w:t>
            </w:r>
            <w:r w:rsidR="00000000" w:rsidRPr="00000000" w:rsidDel="00000000">
              <w:rPr>
                <w:rtl w:val="0"/>
              </w:rPr>
              <w:t xml:space="preserve"> ir attālināti nolasāmas ierīces. Attiecīgi aicinām novērst nepilnību vai sniegt skaidrojumu par direktīvas prasības pilnīgu pārņemšanu.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5.punkta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Daudzdzīvokļu dzīvojamā mājā un nedzīvojamā ēkā patērēto siltumenerģiju uzskaita atsevišķi katrai dzīvojamo un nedzīvojamo telpu grupai, izmantojot šādus uzskaites veidus: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Daudzdzīvokļu dzīvojamā mājā patērēto siltumenerģiju uzskaita atsevišķi katrai dzīvojamo un nedzīvojamo telpu grupai. Patērētās siltumenerģijas uzskaitē izmanto attālināti nolasāmus individuālus siltumenerģijas skaitītājus, individuālus siltuma maksas sadalītājus katram sildelementam vai siltumenerģijas patēriņa noteikšanas sistēmu, izmantojot tiešsaistē periodiski fiksētus siltumnesēja caurplūdes un apkures cauruļvadu virsmu temperatūras datus (turpmāk – siltumenerģijas patēriņa noteikšanas sistēma),  izņemot,  ja minēto ierīču uzstādīšana nav tehniski iespējama vai nav ekonomiski pamatota. Individuālie siltumenerģijas skaitītāji atbilst metroloģiskajām prasībām, kas noteiktas normatīvajos aktos par mērījumu vienotību, siltumenerģijas patēriņa noteikšanas sistēma atbilst dzīvojamās mājas īpašnieku un radioiekārtu regulējumā noteiktajām prasībām, un individuālie siltuma maksas sadalītāji atbilst prasībām, kas noteiktas standartā LVS EN 834+AC:2021 "Siltuma maksas sadalītāji dzīvokļa apsildes radiatoriem. Ierīces ar elektroenerģijas avotu".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projektā (sk. norādi uz "radioiekārtu regulējumu") atsauces veidot atbilstoši Ministru kabineta 2009. gada 3. februāra noteikumu Nr. 108 "Normatīvo aktu projektu sagatavošanas noteikumi" 3.7. apakšnodaļai, tostarp, ja nepieciešams, ietverot atsauci uz </w:t>
            </w:r>
            <w:r w:rsidR="00000000" w:rsidRPr="00000000" w:rsidDel="00000000">
              <w:rPr>
                <w:u w:val="single"/>
                <w:rtl w:val="0"/>
              </w:rPr>
              <w:t xml:space="preserve">normatīvajiem aktiem noteiktā jomā</w:t>
            </w:r>
            <w:r w:rsidR="00000000" w:rsidRPr="00000000" w:rsidDel="00000000">
              <w:rPr>
                <w:rtl w:val="0"/>
              </w:rPr>
              <w:t xml:space="preserve"> atbilstoši minēto noteikumu 137.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Koreiģēta atsauce uz "radioiekārtu atbilstības novērtēšanas, piedāvāšanas tirgū, uzstādīšanas, lietošanas un uzraudzības regulējumā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Daudzdzīvokļu dzīvojamā mājā un nedzīvojamā ēkā patērēto siltumenerģiju uzskaita atsevišķi katrai dzīvojamo un nedzīvojamo telpu grupai, izmantojot šādus uzskaites veidus: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Daudzdzīvokļu dzīvojamā mājā patērēto siltumenerģiju uzskaita atsevišķi katrai dzīvojamo un nedzīvojamo telpu grupai. Patērētās siltumenerģijas uzskaitē izmanto attālināti nolasāmus individuālus siltumenerģijas skaitītājus, individuālus siltuma maksas sadalītājus katram sildelementam vai siltumenerģijas patēriņa noteikšanas sistēmu, izmantojot tiešsaistē periodiski fiksētus siltumnesēja caurplūdes un apkures cauruļvadu virsmu temperatūras datus (turpmāk – siltumenerģijas patēriņa noteikšanas sistēma),  izņemot,  ja minēto ierīču uzstādīšana nav tehniski iespējama vai nav ekonomiski pamatota. Individuālie siltumenerģijas skaitītāji atbilst metroloģiskajām prasībām, kas noteiktas normatīvajos aktos par mērījumu vienotību, siltumenerģijas patēriņa noteikšanas sistēma atbilst dzīvojamās mājas īpašnieku un radioiekārtu regulējumā noteiktajām prasībām, un individuālie siltuma maksas sadalītāji atbilst prasībām, kas noteiktas standartā LVS EN 834+AC:2021 "Siltuma maksas sadalītāji dzīvokļa apsildes radiatoriem. Ierīces ar elektroenerģijas avotu".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atkārtoto saskaņošanu projekta 1. punktā izteiktajā noteikumu 5. punktā veikts precizējums, paredzot, ka "siltumenerģijas patēriņa noteikšanas sistēma atbilst dzīvojamās mājas īpašnieku un radioiekārtu regulējumā noteiktajām prasībām". Aicinām anotācijā izvērstāk skaidrot, par kādām prasībām ir runa un kur tās ir noteiktas. Aicinām projektā atsauces veidot atbilstoši Ministru kabineta 2009. gada 3. februāra noteikumu Nr. 108 "Normatīvo aktu projektu sagatavošanas noteikumi" 3.7. apakšnodaļai, tostarp, ja nepieciešams, ietverot atsauci uz normatīvajiem aktiem noteiktā jomā atbilstoši minēto noteikumu 137.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un noteikumu projekta 24-TA-729 anotācijas 1.1. apakšsadaļā precizēts skaidrojums, ka  siltumenerģijas patēriņa noteikšanas sistēmas vienai no komponentēm - sensoram jāatbilst Ministru kabineta 2024.gada 2.aprīļa noteikumu Nr. 215 "Radioiekārtu atbilstības novērtēšanas, piedāvāšanas tirgū, uzstādīšanas, lietošanas un uzraudzības noteikumi"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Daudzdzīvokļu dzīvojamā mājā un nedzīvojamā ēkā patērēto siltumenerģiju uzskaita atsevišķi katrai dzīvojamo un nedzīvojamo telpu grupai, izmantojot šādus uzskaites veidus: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Daudzdzīvokļu dzīvojamā mājā uzstāda individuālos skaitītājus, kas mēra mājsaimniecības karstā ūdens patēriņu katrā ēkas vienībā, izņemot, ja to uzstādīšana nav tehniski iespējama vai nav ekonomiski pamatota attiecībā pret potenciālo enerģijas ietaupījumu. Individuālo skaitītāju, kas mēra mājsaimniecības karstā ūdens patēriņu katrā ēkas vienībā, uzstādīšanas tehnisko un ekonomisko pamatojumu izvērtē dzīvojamās mājas pārvaldītājs.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atbilstoši juridiskās tehnikas prasībām normu nepieciešams izteikt kā atsevišķu noteikumu punktu (piemēram, 5.</w:t>
            </w:r>
            <w:r w:rsidR="00000000" w:rsidRPr="00000000" w:rsidDel="00000000">
              <w:rPr>
                <w:vertAlign w:val="superscript"/>
                <w:rtl w:val="0"/>
              </w:rPr>
              <w:t xml:space="preserve">1</w:t>
            </w:r>
            <w:r w:rsidR="00000000" w:rsidRPr="00000000" w:rsidDel="00000000">
              <w:rPr>
                <w:rtl w:val="0"/>
              </w:rPr>
              <w:t xml:space="preserve"> punktu, nevis 5.1. apakšpunktu). Papildus atkārtoti aicinām izvērtēt iespēju to novietot sistēmiski un saturiski iederīgākā vietā noteikumu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Izteikts kā atsevišķs noteikumu punkts 5.</w:t>
            </w:r>
            <w:r w:rsidR="00000000" w:rsidRPr="00000000" w:rsidDel="00000000">
              <w:rPr>
                <w:vertAlign w:val="superscript"/>
                <w:rtl w:val="0"/>
              </w:rPr>
              <w:t xml:space="preserve">1 </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Daudzdzīvokļu dzīvojamā mājā uzstāda individuālos skaitītājus, kas mēra mājsaimniecības karstā ūdens patēriņu katrā ēkas vienībā, izņemot, ja to uzstādīšana nav tehniski iespējama vai nav ekonomiski pamatota attiecībā pret potenciālo enerģijas ietaupījumu. Individuālo skaitītāju, kas mēra mājsaimniecības karstā ūdens patēriņu katrā ēkas vienībā, uzstādīšanas tehnisko un ekonomisko pamatojumu izvērtē dzīvojamās mājas pārvaldītājs.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tiktu pilnībā pārņemts Direktīvas 2023/1791 15. panta 1. punkts, aicinām izveidot metodiku arī attālināti nolasāmiem individuāliem skaitītājiem, kas mēra mājsaimniecības karstā ūdens patēriņu katrā ēkas vienībā, pēc Noteikumu un Noteikumu projekta pielikumu paraugiem. Vēršot uzmanību, ka potenciāli attālināti nolasāmu individuālo mājsaimniecību karstā ūdens patēriņa skaitītāju uzstādīšana atmaksāsies lēnāk attiecībā pret potenciālo enerģijas ietaupījumu kā tas būtu apkures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1.1.punkts ar skaidrojumu. Attālināt nolasāmu skaitītāju, kas mēra mājsaimniecības karstā ūdens patēriņu katrā ēkas vienībā, uzstādīšanai pamatā ir taisnīga, uz faktisko patēriņu balstīta katra lietotāja rādījumu nolasīšanas funkcija,  samazinot manipulācijas un manuālās ietekmes (rādījumu nolasīšanas datuma un apjoma) iespējamību, un kas pārvaldniekam palīdzēs saskatīt konkrētāk ūdens zuduma iemeslus, nevis ekonomiskā ietaupījuma iespējamība kā tas ir siltumenerģijas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Daudzdzīvokļu dzīvojamā mājā uzstāda individuālos skaitītājus, kas mēra mājsaimniecības karstā ūdens patēriņu katrā ēkas vienībā, izņemot, ja to uzstādīšana nav tehniski iespējama vai nav ekonomiski pamatota attiecībā pret potenciālo enerģijas ietaupījumu. Individuālo skaitītāju, kas mēra mājsaimniecības karstā ūdens patēriņu katrā ēkas vienībā, uzstādīšanas tehnisko un ekonomisko pamatojumu izvērtē dzīvojamās mājas pārvaldītājs.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Nr. 730 "Ekspluatējamu ēku energoefektivitātes minimālās prasības" nosaka ēkā uzstādīto siltumenerģijas uzskaites automatizāciju, tad karstā ūdens skaitītāji paši par sevi nerisina patērētās enerģijas uzskaiti karstā ūdens cirkulācijas nodrošināšanai. Atbilstoši iekļaujot prasību, par nepieciešamību uzstādīt skaitītāju kopējā karstā ūdens sagatavošanas sistēmai, kas automātiski uzskaita siltumenerģijas patēriņu karstajam ūdenim un cirkulācijai, tas padara loģiskāku prasību pēc karstā ūdens skaitītāju nepieciešamības.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prasība par  skaitītāja uzstādīšanu kopējā karstā ūdens sagatavošanas sistēmai uzliktu lielāku slogu dzīvokļu īpašniekiem, ņemot vērā, ka  vidējās izmaksas šādas sistēmas uzstādīšanai būtu 2000-2500 eur apmērā. Šī iespēja tiek saglabāta kā  dzīvokļu īpašnieku kopības rīcības brīvība un pieņemtiem lēmumiem, izvērtējot  mājas tehniskās iespējas un ekonomisko pamatojumu.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Daudzdzīvokļu dzīvojamā mājā uzstāda individuālos skaitītājus, kas mēra mājsaimniecības karstā ūdens patēriņu katrā ēkas vienībā, izņemot, ja to uzstādīšana nav tehniski iespējama vai nav ekonomiski pamatota attiecībā pret potenciālo enerģijas ietaupījumu. Individuālo skaitītāju, kas mēra mājsaimniecības karstā ūdens patēriņu katrā ēkas vienībā, uzstādīšanas tehnisko un ekonomisko pamatojumu izvērtē dzīvojamās mājas pārvaldītājs.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punktā izteiktajā noteikumu 5.1. apakšpunktā paredzēts, ka individuālo skaitītāju, kas mēra mājsaimniecības karstā ūdens patēriņu katrā ēkas vienībā, uzstādīšanas tehnisko un ekonomisko pamatojumu izvērtē dzīvojamās mājas pārvaldītājs. Atšķirībā no noteikumu 7. punkta, nav paredzēta un noteikumu pielikumā ietverta metodika, kas pārvaldītājam jāizmanto, lai izvērtētu individuālo skaitītāju uzstādīšanas tehnisko un ekonomisko pamatojumu. Aicinām izvērtēt un skaidrot, vai nav nepieciešams veidot līdzīgu regulējumu kā noteikumu 7. punktā un 1.-3. pielikumā, citastarp skaidrojot, vai Direktīvas 2023/1791 15. panta 1. punkta pēdējais teikums (</w:t>
            </w:r>
            <w:r w:rsidR="00000000" w:rsidRPr="00000000" w:rsidDel="00000000">
              <w:rPr>
                <w:i w:val="1"/>
                <w:rtl w:val="0"/>
              </w:rPr>
              <w:t xml:space="preserve">"Katra dalībvalsts skaidri nosaka un publicē vispārējos kritērijus, metodes un procedūras, lai noteiktu, pie kādiem to uzskata par tehniski neiespējamu vai izmaksu nelietderīgu."</w:t>
            </w:r>
            <w:r w:rsidR="00000000" w:rsidRPr="00000000" w:rsidDel="00000000">
              <w:rPr>
                <w:rtl w:val="0"/>
              </w:rPr>
              <w:t xml:space="preserve">) nav piemērojams attiecībā arī uz karstā ūdens patēriņa individuālo skaitītāju uzstādīšanu. Ja nepieciešams,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1.1.punkts ar skaidrojumu. Attālināt nolasāmu skaitītāju, kas mēra mājsaimniecības karstā ūdens patēriņu katrā ēkas vienībā, uzstādīšanai pamatā ir taisnīga, uz faktisko patēriņu balstīta katra lietotāja rādījumu nolasīšanas funkcija,  samazinot manipulācijas un manuālās ietekmes (rādījumu nolasīšanas datuma un apjoma) iespējamību. Tas pārvaldniekam palīdzēs saskatīt konkrētāk ūdens zuduma iemeslus un katrs dzīvokļa īpašnieks veiks maksājumu pēc faktiskā patēriņa. Attālināt nolasāmu skaitītāju, kas mēra mājsaimniecības karstā ūdens patēriņu katrā ēkas vienībā, tiešā veidā neveido  ekonomiskā ietaupījuma iespējamību kā tas ir siltumenerģijas patēriņa uzskaites gadījumā, līdz ar to nav iespējama metodika ekonomiskajam pamatojumam. Skaitītāji, kas mēra mājsaimniecības karstā ūdens patēriņu katrā ēkas vienībā, netiešā veidā risina problēmu ar ūdens patēriņa starpības rašanās iemesliem. Attiecīgi pārvaldnieks un dzīvokļu īpašnieku kopība izvērtē, balstoties uz dzīvojamās mājas ūdens starpības apjomiem un  problēmas aktualitāti, katra lietotāja vēlmi saņemt rēķinu saskaņā ar faktisko patēriņu un dzīvokļu īpašnieku kopības maksātspēju.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Daudzdzīvokļu dzīvojamā mājā uzstāda individuālos skaitītājus, kas mēra mājsaimniecības karstā ūdens patēriņu katrā ēkas vienībā, izņemot, ja to uzstādīšana nav tehniski iespējama vai nav ekonomiski pamatota attiecībā pret potenciālo enerģijas ietaupījumu. Individuālo skaitītāju, kas mēra mājsaimniecības karstā ūdens patēriņu katrā ēkas vienībā, uzstādīšanas tehnisko un ekonomisko pamatojumu izvērtē dzīvojamās mājas pārvaldītājs.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5.1. apakšpunktu kā atsevišķu noteikumu punktu. Papildus lūdzam pārdomāt tā novietojumu, jo šobrīd tas sistēmiski un saturiski neiederas starp noteikumu 5. un 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5.1.apakšpunkts ir saistīts ar 5.punktu, jo ietver siltumenerģijas uzskaiti veidojošo elementu.  Ēkā patērētā energonesēja vai enerģijas uzskaiti veido mērierīces siltumenerģijas uzskaitei (sadalei) un individuālie skaitītāji, kas mēra mājsaimniecības karstā ūdens patēriņu katrā ēkas vienībā. Līdz ar to prasība par individuālo skaitītāju, kas mēra mājsaimniecības karstā ūdens patēriņu katrā ēkas vienībā, uzstādīšanu ietverta projekta 5.1.apakšpuntā sasaistē ar 5.pantu.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Individuālu siltuma maksas sadalītāju un individuālu siltumenerģijas patēriņa skaitītāju uzstādīšanas ekonomisko pamatojumu izvērtē dzīvojamās mājas pārvaldītājs atbilstoši individuālu siltuma maksas sadalītāju uzstādīšanas ekonomiskā pamatojuma aprēķināšanas metodikai (1. pielikums), individuālu siltumenerģijas patēriņa skaitītāju uzstādīšanas ekonomiskā pamatojuma aprēķināšanas metodikai (2. pielikums), un  siltumenerģijas patēriņa noteikšanas sistēmas uzstādīšanas ekonomiskā pamatojuma aprēķināšanas metodikai (3. pielikums). Individuālu siltuma maksas sadalītāju, individuālu siltumenerģijas patēriņa skaitītāju vai siltumenerģijas patēriņa noteikšanas sistēmas uzstādīšana ir ekonomiski pamatota, ja, piemērojot Valsts kases tīmekļvietnē publicēto pēdējā pieejamā ceturkšņa attiecīgo diskonta likmi ilgtermiņa ieguldījumu patiesās vērtības noteikšanai saimnieciskās darbības veidam "Nekustamais īpašums (vispārīgi)", neto tagadnes vērtība 10 gadu atmaksāšanās periodam ir pozitīva.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2. punktā izteiktajā noteikumu 7. punkta sākumā iztrūkst norādes uz siltumenerģijas patēriņa noteikšanas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Individuālu siltuma maksas sadalītāju, individuālu siltumenerģijas patēriņa skaitītāju un siltumenerģijas patēriņa noteikšanas sistēmas uzstādīšanas ekonomisko pamatojumu izvērtē dzīvojamās mājas pārvaldītājs atbilstoši individuālu siltuma maksas sadalītāju uzstādīšanas ekonomiskā pamatojuma aprēķināšanas metodikai (1. pielikums), individuālu siltumenerģijas patēriņa skaitītāju uzstādīšanas ekonomiskā pamatojuma aprēķināšanas metodikai (2. pielikums), un  siltumenerģijas patēriņa noteikšanas sistēmas uzstādīšanas ekonomiskā pamatojuma aprēķināšanas metodikai (3. pielikums). Individuālu siltuma maksas sadalītāju, individuālu siltumenerģijas patēriņa skaitītāju vai siltumenerģijas patēriņa noteikšanas sistēmas uzstādīšana ir ekonomiski pamatota, ja, piemērojot Valsts kases tīmekļvietnē publicēto pēdējā pieejamā ceturkšņa attiecīgo diskonta likmi ilgtermiņa ieguldījumu patiesās vērtības noteikšanai saimnieciskās darbības veidam "Nekustamais īpašums (vispārīgi)", neto tagadnes vērtība 10 gadu atmaksāšanās periodam ir pozitīva.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Individuālu siltuma maksas sadalītāju, individuālu siltumenerģijas patēriņa skaitītāju un siltumenerģijas patēriņa noteikšanas sistēmas uzstādīšanas tehnisko iespējamību un ekonomisko pamatojumu atkārtoti izvērtē pēc tam, kad daudzdzīvokļu dzīvojamā mājā, kurā individuāli siltuma maksas sadalītāji, individuāli siltumenerģijas patēriņa skaitītāji vai siltumenerģijas patēriņa noteikšanas sistēma nav uzstādīta, ir veikta apkures sistēmas atjaunošana vai pārbūve.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3. punktā izteiktajā noteikumu 5. punktā, kā arī projekta 4. punktā izteiktajā noteikumu 5.</w:t>
            </w:r>
            <w:r w:rsidR="00000000" w:rsidRPr="00000000" w:rsidDel="00000000">
              <w:rPr>
                <w:vertAlign w:val="superscript"/>
                <w:rtl w:val="0"/>
              </w:rPr>
              <w:t xml:space="preserve">1</w:t>
            </w:r>
            <w:r w:rsidR="00000000" w:rsidRPr="00000000" w:rsidDel="00000000">
              <w:rPr>
                <w:rtl w:val="0"/>
              </w:rPr>
              <w:t xml:space="preserve"> punktā ietverto papildinājumu ar norādi uz "nedzīvojamu ēku", aicinām izvērtēt, vai projektā nav nepieciešami vēl kādi precizējumi vai papildinājumi (sk., piemēram, noteikumu 8. punktu). Papildus norādām, ka visus projektā ietvertos grozījumus nepieciešams pamatot anotācijā, attiecīgi aicinām anotācijā sniegt skaidrojumu, kādēļ paredzēts attiecīgo prasību attiecināt arī uz nedzīvojamu ēku.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8.punktā un anotācija. Noteikumi nosaka minimālās prasības ekspluatējamām ēkām, un Direktīvas 2023/1791 15. panta 1. punktā norādīts, ka prasības attiecas uz daudzdzīvokļu ēkām un nedzīvojamām ēkām. Ievērojot minēto, Noteikumu 5. un 8. punktos precizēts, ka prasības attiecas uz daudzdzīvokļu dzīvojamām mājām un nedzīvojamā ēkām.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Attālināti nolasāmu individuālu siltuma maksas sadalītāju, attālināti nolasāmu individuālu siltumenerģijas patēriņa skaitītāju un siltumenerģijas patēriņa noteikšanas sistēmas uzstādīšanas tehnisko iespējamību un ekonomisko pamatojumu atkārtoti izvērtē pēc tam, kad daudzdzīvokļu dzīvojamā mājā un nedzīvojamā ēkā, kurā individuāli siltuma maksas sadalītāji, individuāli siltumenerģijas patēriņa skaitītāji vai siltumenerģijas patēriņa noteikšanas sistēma nav uzstādīta, ir veikta apkures sistēmas atjaunošana vai pārbūve.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Individuālajiem siltuma maksas sadalītājiem un individuālajiem siltumenerģijas patēriņa skaitītājiem, kas uzstādīti pirms 2021. gada 1. janvāra un nav attālināti nolasāmi, līdz 2027. gada 1. janvārim nodrošina attālinātu nolasāmību vai aizstāj tos ar attālināti nolasāmiem individuāliem siltuma maksas sadalītājiem, individuāliem siltumenerģijas patēriņa skaitītājiem vai siltumenerģijas patēriņa noteikšanas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anotācijā skaidrot Direktīvas 2023/1791 16. panta 1. punkta 2. teikuma ("</w:t>
            </w:r>
            <w:r w:rsidR="00000000" w:rsidRPr="00000000" w:rsidDel="00000000">
              <w:rPr>
                <w:i w:val="1"/>
                <w:rtl w:val="0"/>
              </w:rPr>
              <w:t xml:space="preserve">Piemēro tehniskās iespējamības un izmaksu lietderības nosacījumus, kas izklāstīti 15. panta 1. punktā</w:t>
            </w:r>
            <w:r w:rsidR="00000000" w:rsidRPr="00000000" w:rsidDel="00000000">
              <w:rPr>
                <w:rtl w:val="0"/>
              </w:rPr>
              <w:t xml:space="preserve">.") un 2. punkta piebildes "</w:t>
            </w:r>
            <w:r w:rsidR="00000000" w:rsidRPr="00000000" w:rsidDel="00000000">
              <w:rPr>
                <w:i w:val="1"/>
                <w:rtl w:val="0"/>
              </w:rPr>
              <w:t xml:space="preserve">izņemot gadījumus, ja attiecīgā dalībvalsts ir pierādījusi, ka tas nav izmaksu ziņā lietderīgi</w:t>
            </w:r>
            <w:r w:rsidR="00000000" w:rsidRPr="00000000" w:rsidDel="00000000">
              <w:rPr>
                <w:rtl w:val="0"/>
              </w:rPr>
              <w:t xml:space="preserve">", kā arī atbilstošo Direktīvas 2012/27/ES prasību pārņemšanas pilnīgumu projekta 3. un 7. punktā attiecībā uz siltumenerģijas patēriņa skaitītājiem un siltummaksas sadalītājiem (sal. sk. projekta 8. un 9. punktu). Ja gadījumā projektā noteiktas stingrākas prasības, nekā paredz Eiropas Savienības tiesiskais regulējums, aicinām sniegt pamatojumu anotācijas 5.4. apakšsadaļas 1. tabulā.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Direktīvas 2023/1791 16. panta 2.punktam izmaksu lietderības izvērtēšanai ir pieejami Noteikumu pielikumi - ekonomiskā pamatojuma aprēķināšanas metodika, un piemērojama Noteikumu 7. punktā noteiktā kārtība, izvērtējot attālinātās nolasīšanas nodrošināšanu individuālajiem siltumenerģijas patēriņa ierīcēm, ja tiek mainīts ierīču veids. Situācijā, ja attālinātu nolasāmību nodrošina esošajām ierīcēm, ekonomisko izvērtējumu veic ēkas pārvaldītājs, tajā skaitā ņemot vērā konkrētas ēkas tehnisko iespējamību. Situācijā, ja attālinātu nolasāmību nodrošina esošajām ierīcēm, tas būs ekonomiski pamatoti un neveido tādu izmaksu apmēru kā jaunu ierīču vai iekārtas uzstādīšanu. Attālināti nolasāmu individuālu siltumenerģijas patēriņa ierīču esamība tiešā veidā ietekmē siltumenerģijas patēriņu, jo galalietotājiem nav iespējas ietekmēt un norādīt nekorektus faktiskos rādītājus, izmantojot tarifu mainību apkures sezonā un attiecīgi maksājot mazāk nekā faktiski patērēts. Kā arī citi lietotāji rezultātā proporcionāli maksās vairāk.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Individuālajiem siltuma maksas sadalītājiem un individuālajiem siltumenerģijas patēriņa skaitītājiem, kas uzstādīti pirms 2021. gada 1. janvāra un nav attālināti nolasāmi, līdz 2027. gada 1. janvārim nodrošina attālinātu nolasāmību vai aizstāj tos ar attālināti nolasāmiem individuāliem siltuma maksas sadalītājiem, individuāliem siltumenerģijas patēriņa skaitītājiem vai siltumenerģijas patēriņa noteikšanas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No jauna uzstādītie individuālie skaitītāji, kas mēra mājsaimniecības karstā ūdens patēriņu katrā ēkas vienībā,  ir attālināti nolasāmi.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izvērtēt, vai projekta 8. punktā ietvertajā noteikumu 15. punktā nav paredzēta stingrāka prasība kā Eiropas Parlamenta un Padomes 2023. gada 13. septembra direktīvas (ES) 2023/1791 par energoefektivitāti un ar ko groza Regulu (ES) 2023/955 (pārstrādātā redakcija) (turpmāk – Direktīva 2023/1791) 16. panta 1. punktā un tam atbilstošajā Eiropas Parlamenta un Padomes 2012. gada 25. oktobra Direktīvas 2012/27/ES par energoefektivitāti, ar ko groza Direktīvas 2009/125/EK un 2010/30/ES un atceļ Direktīvas 2004/8/EK un 2006/32/EK (turpmāk - Direktīva 2012/27/ES) vienībā. Gadījumā, ja projekts paredz stingrākas prasības, aicinām sniegt atbilstošu pamatojumu anotācijas 5.4. apakšsadaļas 1. tabulā.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nav stingrāka, jo ietvert tehnisko un ekonomisko izvērtējumu, kas pārvaldītājam jāveic saskaņā ar Noteikumu 5.prim punktu. Ekonomisko izvērtējumu ietekmē nepieciešamais ierīču skaits un modelis. Līdz ar to iespējams, ka pārvaldniekam, veicot lielāku iepirkumu (arī vairākām mājām) attālināti nolasāmām ierīcēm, izmaksas var būt vienādas vai mazākas nekā salīdzinoši mazs iepirkums. Papildus ekonomisko aprēķinu ietekmē izvēlētais skaitītāja modelis. Tādēļ attālināti nolasāmu skaitītāju uzstādīšana nav stingrāka prasība un tas ne vienmēr ir izmaksu ziņā dārgāk kā ierīces bez attālinātas nolasīšanas iespējas. Kā arī lai sasniegtu vienu no Direktīvā 2023/1791 norādītiem mērķiem - uz faktisko patēriņu balstītu katra lietotāja rādījumu nolasīšanu, veicinātu jaunāko tehnoloģiju izmantošanu, un risinātu citas praksē pastāvošās problēmas, samazinot manipulācijas un manuālās ietekmes, tiek noteiks uzstādīt attālināti nolasāmas ierīces.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No jauna uzstādītie individuālie skaitītāji, kas mēra mājsaimniecības karstā ūdens patēriņu katrā ēkas vienībā,  ir attālināti nolasāmi.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Šo noteikumu 15. punkts stājas spēkā 2025. gada 12. oktobrī.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7. punktā uz Tieslietu ministrijas 2024. gada 23. augusta iebildumu sniegts šāds skaidrojums: "</w:t>
            </w:r>
            <w:r w:rsidR="00000000" w:rsidRPr="00000000" w:rsidDel="00000000">
              <w:rPr>
                <w:i w:val="1"/>
                <w:rtl w:val="0"/>
              </w:rPr>
              <w:t xml:space="preserve">Prasība par jaunuzstādītiem individuāliem skaitītājiem, kas mēra mājsaimniecības karstā ūdens patēriņu katrā ēkas vienībā, </w:t>
            </w:r>
            <w:r w:rsidR="00000000" w:rsidRPr="00000000" w:rsidDel="00000000">
              <w:rPr>
                <w:i w:val="1"/>
                <w:u w:val="single"/>
                <w:rtl w:val="0"/>
              </w:rPr>
              <w:t xml:space="preserve">obligāti tiek noteikta no 2025. gada 12. oktobra saskaņā ar Direktīvas 2023/1791 39. pantā noteikto datumu</w:t>
            </w:r>
            <w:r w:rsidR="00000000" w:rsidRPr="00000000" w:rsidDel="00000000">
              <w:rPr>
                <w:i w:val="1"/>
                <w:rtl w:val="0"/>
              </w:rPr>
              <w:t xml:space="preserve"> un sniedzot iespēju pārvaldniekiem un dzīvokļu īpašniekiem laiku, izvērtēt mājas tehnisko iespējamību, maksātspēju un sagatavoties prasībai. Tajā pat laikā nav liegts jau šobrīd uzstādīt attālināti nolasāmas ierīces.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Izprotam nepieciešamību paredzēt laika periodu privātpersonām sagatavoties tiesiskā regulējuma izmaiņām, tomēr reizē lūdzam sniegt skaidrojumu par projekta 7. punktā paredzētā termiņa atbilstību Eiropas Savienības tiesiskajam regulējumam. Proti, kā izziņā pareizi norādīts, saskaņā ar Direktīvas 2023/1791 39. pantu atsevišķas direktīvas vienības, tostarp 16. panta 1. punktu, piemēro no 2025. gada 12. oktobra. Tomēr šāds termiņš direktīvā paredzēts, jo ar Direktīvas 2023/1791 38. pantu Direktīvu 2012/27/ES atceļ no 2025. gada 12. oktobra. Direktīvas 2023/1791 16. panta 1. punktā ietvertā prasība saturiski atbilst Direktīvas 2012/27/ES 9.c panta 1. punktā ietvertajai prasībai, kura, kā anotācijā korekti norādīts, paredz, ka: "</w:t>
            </w:r>
            <w:r w:rsidR="00000000" w:rsidRPr="00000000" w:rsidDel="00000000">
              <w:rPr>
                <w:i w:val="1"/>
                <w:rtl w:val="0"/>
              </w:rPr>
              <w:t xml:space="preserve">jaunuzstādītiem skaitītājiem jābūt attālināti nolasāmiem [..] no 2020. gada 25. oktobra</w:t>
            </w:r>
            <w:r w:rsidR="00000000" w:rsidRPr="00000000" w:rsidDel="00000000">
              <w:rPr>
                <w:rtl w:val="0"/>
              </w:rPr>
              <w:t xml:space="preserve">" (proti, skaitītāji un siltummaksas sadalītāji, kas uzstādīti pēc 2020. gada 25. oktobra, ir attālināti nolasāmas ierīces). Attiecīgi aicinām sniegt skaidrojumu par attiecīgā Eiropas Savienības tiesiskā regulējuma pilnīgu pārņemšanu līdz šim un turpmāk un iespējamiem riskiem, kā arī izvērtēt iespēju termiņu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prasību par skaitītāju, kas mēra mājsaimniecības karstā ūdens patēriņu katrā ēkas vienībā, uzstādīšanu tiks pilnībā pārņemts attiecīgais Eiropas Savienības tiesiskais regulējums, iespējamie riski ir izvērtēti un ņemti vērā.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Šo noteikumu 15. punkts stājas spēkā 2025. gada 12. oktobrī.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 punkts paredz izteikt noteikumu 1. pielikumu jaunā redakcijā. Lūdzam anotācijā skaidrot, kādas izmaiņas paredzētas 1. pielikumā, jo pašreiz šāds pamatojums nav ietverts, vai novērst tehnisku kļūdu, svītrojot 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Novērsta tehniskā kļūda par 1. pielikumu, svītrots 9.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M=Qēkai X T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 – patērētās siltumenerģijas izmaksas (euro) apkures nodrošināšanai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Qēkai – ēkas apkurei patērētās siltumenerģijas daudzums (MWh)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 – siltumenerģijas tarifs (euro/MWh), ieskaitot pievienotās vērtības nodokli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siltumenerģijas tarifs var būt viendaļīgs vai divdaļīgs, tad būtu nepieciešams nodefinēt, par kādu siltumenerģijas tarifa daļu ir runa šajā formulā (siltumenerģijas komponente (EUR/MWh), siltuma jaudas maksa (EUR/MW) vai abas kopā). Pēc loģikas izriet, ka divdaļīga siltumenerģijas tarifa gadījumā, siltumenerģijas tarifa pozīcijā izmantojams tarifa aprēķinā lietots aprēķins “Divdaļīgs siltumenerģijas tarifs izteikts viendaļīgā tarifā”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Formulā minētais jēdziens siltumenerģijas tarifs ir domāts kā gala tarifs, kas jebkurā gadījumā tiks izteikts rezultātā kā viendaļīgs.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24-TA-1244</w:t>
    </w:r>
    <w:r>
      <w:br/>
    </w:r>
    <w:r w:rsidR="00000000" w:rsidRPr="00000000" w:rsidDel="00000000">
      <w:rPr>
        <w:rtl w:val="0"/>
      </w:rPr>
      <w:t xml:space="preserve">06.01.2025. 15.23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24-TA-1244</w:t>
    </w:r>
    <w:r>
      <w:br/>
    </w:r>
    <w:r w:rsidR="00000000" w:rsidRPr="00000000" w:rsidDel="00000000">
      <w:rPr>
        <w:rtl w:val="0"/>
      </w:rPr>
      <w:t xml:space="preserve">06.01.2025. 15.23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Izziņa_24-TA-1244.docx</dc:title>
</cp:coreProperties>
</file>

<file path=docProps/custom.xml><?xml version="1.0" encoding="utf-8"?>
<Properties xmlns="http://schemas.openxmlformats.org/officeDocument/2006/custom-properties" xmlns:vt="http://schemas.openxmlformats.org/officeDocument/2006/docPropsVTypes"/>
</file>