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22-TA-3699: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pasākumā "Aizsargājamo jūras zīdītāju radīto zaudējumu segšana"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finansējuma apmēru (</w:t>
            </w:r>
            <w:r w:rsidR="00000000" w:rsidRPr="00000000" w:rsidDel="00000000">
              <w:rPr>
                <w:i w:val="1"/>
                <w:rtl w:val="0"/>
              </w:rPr>
              <w:t xml:space="preserve">euro</w:t>
            </w:r>
            <w:r w:rsidR="00000000" w:rsidRPr="00000000" w:rsidDel="00000000">
              <w:rPr>
                <w:rtl w:val="0"/>
              </w:rPr>
              <w:t xml:space="preserve">) par aizsargājamo zīdītāju radītajiem zaudējumiem kalendāra gadā katrai attiecīgajai zivju sugai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finansējuma apmērs katrai attiecīgajai zivju sugai (</w:t>
            </w:r>
            <w:r w:rsidR="00000000" w:rsidRPr="00000000" w:rsidDel="00000000">
              <w:rPr>
                <w:i w:val="1"/>
                <w:rtl w:val="0"/>
              </w:rPr>
              <w:t xml:space="preserve">euro</w:t>
            </w:r>
            <w:r w:rsidR="00000000" w:rsidRPr="00000000" w:rsidDel="00000000">
              <w:rPr>
                <w:rtl w:val="0"/>
              </w:rPr>
              <w:t xml:space="preserve">) = A x B x C,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attiecīgās zivju sugas nozvejas apjoms Baltijas jūras un Rīgas līča piekrastes ūdeņos (kg) atbilstoši valsts informācijas sistēmas "Latvijas Zivsaimniecības integrētā kontroles un informācijas sistēma" datiem kalendāra gadā, par kuru pretendē uz publisko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vērtības koeficients Baltijas jūras un Rīgas līča piekrastes ūdeņos nozvejotam vienam kilogramam akmeņplekstes, sīgas, zandarta, asara, lucīša, mencas, vimbas, plauža, laša, taimiņa, salakas, reņģes, vējzivs, apaļā jūrasgrunduļa, jūras grunduļa un plekstes atbilstoši Zemkopības ministrijas noteiktai vienotai likmei saskaņā ar regulas 2021/1060 53. panta 1. punkta "d" apakšpunktu un 3. punkta "a" apakšpunktu. Minēto vienotās likmes apmēru Lauku atbalsta dienests publicē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koeficients, kas par aizsargājamo zīdītāju radīto zaudējumu attiecībā uz akmeņpleksti, sīgu, zandartu, asari, lucīti, mencu, vimbu, plaudi, lasi, taimiņu un salaku, ir 38 procenti, par reņģi, apaļo jūrasgrunduli un jūras grunduli un vējzivi – 20 procenti un par pleksti – 10 procenti.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pamatot, kāpēc koeficients par reņģi, apaļo jūrasgrunduli un jūras grunduli un pleksti noteikts ievērojami zemāks nekā pārējām zivju sugām.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"Koeficients par aizsargājamo zīdītāju radīto zaudējumu attiecībā uz akmeņpleksti, sīgu, zandartu, asari, lucīti, mencu, vimbu, plaudi, lasi, taimiņu, salaku, reņģi, apaļo jūrasgrunduli un jūrasgrunduli, vējzivi un pleksti tiek noteikts, pamatojoties uz valsts zinātniskā institūta "Pārtikas drošības, dzīvnieku veselības un vides zinātniskais institūts "BIOR"" (turpmāk – Institūts) izstrādāto un zinātniski pamatoto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Institūts 2022. gadā ir īstenojis jaunu projektu CODHEALTH (Nr. lzp-2021/1-0024), kura laikā ir ievākti un analizēti vairāk nekā 50 piekrastes zvejā nejauši bojā gājuši pelēkie roņi. Kuņģu analīžu rezultāti no pavasara sezonas liecina, ka pelēko roņu kuņģos bieži sastopams barības objekts ir apaļais jūrasgrundulis, turklāt tā izmēra sastāvs ir gandrīz identisks izmēra sastāvam komerciālajā zvejā.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projekta 9. punktā ietvertajā aprēķinu formulas koeficientā C Institūts attiecībā uz apaļo jūrasgrunduli un jūras grunduli rekomendē šo koeficientu palielināt no 10 % uz 20 %, tā to pielīdzinot reņģei un vējzivij, bet pārējās koeficienta C vērtības atstājot nemainīgas. Tātad C koeficients tiek noteikts šādās vērtībās: par aizsargājamo zīdītāju radīto zaudējumu attiecībā uz akmeņpleksti, sīgu, zandartu, asari, lucīti, mencu, vimbu, plaudi, lasi, taimiņu un salaku, – 38 procenti, par reņģi, apaļo jūrasgrunduli un jūras grunduli un vējzivi – 20 procentu un par pleksti – 10 procentu."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Publiskā finansējuma apmēru (</w:t>
            </w:r>
            <w:r w:rsidR="00000000" w:rsidRPr="00000000" w:rsidDel="00000000">
              <w:rPr>
                <w:i w:val="1"/>
                <w:rtl w:val="0"/>
              </w:rPr>
              <w:t xml:space="preserve">euro</w:t>
            </w:r>
            <w:r w:rsidR="00000000" w:rsidRPr="00000000" w:rsidDel="00000000">
              <w:rPr>
                <w:rtl w:val="0"/>
              </w:rPr>
              <w:t xml:space="preserve">) par aizsargājamo zīdītāju radītajiem zaudējumiem kalendāra gadā katrai attiecīgajai zivju sugai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finansējuma apmērs katrai attiecīgajai zivju sugai (</w:t>
            </w:r>
            <w:r w:rsidR="00000000" w:rsidRPr="00000000" w:rsidDel="00000000">
              <w:rPr>
                <w:i w:val="1"/>
                <w:rtl w:val="0"/>
              </w:rPr>
              <w:t xml:space="preserve">euro</w:t>
            </w:r>
            <w:r w:rsidR="00000000" w:rsidRPr="00000000" w:rsidDel="00000000">
              <w:rPr>
                <w:rtl w:val="0"/>
              </w:rPr>
              <w:t xml:space="preserve">) = A x B x C,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attiecīgās zivju sugas nozvejas apjoms Baltijas jūras un Rīgas līča piekrastes ūdeņos (kg) atbilstoši valsts informācijas sistēmas "Latvijas Zivsaimniecības integrētā kontroles un informācijas sistēma" datiem kalendāra gadā, par kuru pretendē uz publisko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vērtības koeficients Baltijas jūras un Rīgas līča piekrastes ūdeņos nozvejotam vienam kilogramam akmeņplekstes, sīgas, zandarta, asara, lucīša, mencas, vimbas, plauža, laša, taimiņa, salakas, reņģes, vējzivs, apaļā jūrasgrunduļa, jūras grunduļa un plekstes atbilstoši Zemkopības ministrijas noteiktai vienotai likmei saskaņā ar regulas </w:t>
            </w:r>
            <w:r w:rsidR="00000000" w:rsidRPr="00000000" w:rsidDel="00000000">
              <w:rPr>
                <w:rtl w:val="0"/>
              </w:rPr>
              <w:t xml:space="preserve">2021/1060</w:t>
            </w:r>
            <w:r w:rsidR="00000000" w:rsidRPr="00000000" w:rsidDel="00000000">
              <w:rPr>
                <w:rtl w:val="0"/>
              </w:rPr>
              <w:t xml:space="preserve"> 53. panta 1. punkta "d" apakšpunktu un 3. punkta "a" apakšpunktu. Minēto vienotās likmes apmēru Lauku atbalsta dienests publicē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koeficients, kas par aizsargājamo zīdītāju radīto zaudējumu attiecībā uz akmeņpleksti, sīgu, zandartu, asari, lucīti, mencu, vimbu, plaudi, lasi, taimiņu un salaku, ir 38 procenti, par reņģi, apaļo jūrasgrunduli un jūras grunduli un vējzivi – 20 procentu un par pleksti – 10 procentu.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 sadaļas 1. tabulu ar notekumu projekta 9. punktā minēto Eiropas Savienības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atsauci uz regulas 2021/1060 53. panta 1. punkta "d" apakšpunktu un 3. punkta "a"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Acinām anotācijas 3.sadaļā manuāli aizpildīt 5.1. apakšpunktu, norādot precizētu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22-TA-3699</w:t>
    </w:r>
    <w:r>
      <w:br/>
    </w:r>
    <w:r w:rsidR="00000000" w:rsidRPr="00000000" w:rsidDel="00000000">
      <w:rPr>
        <w:rtl w:val="0"/>
      </w:rPr>
      <w:t xml:space="preserve">13.03.2023. 11.31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22-TA-3699</w:t>
    </w:r>
    <w:r>
      <w:br/>
    </w:r>
    <w:r w:rsidR="00000000" w:rsidRPr="00000000" w:rsidDel="00000000">
      <w:rPr>
        <w:rtl w:val="0"/>
      </w:rPr>
      <w:t xml:space="preserve">13.03.2023. 11.31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Izziņa_22-TA-3699.docx</dc:title>
</cp:coreProperties>
</file>

<file path=docProps/custom.xml><?xml version="1.0" encoding="utf-8"?>
<Properties xmlns="http://schemas.openxmlformats.org/officeDocument/2006/custom-properties" xmlns:vt="http://schemas.openxmlformats.org/officeDocument/2006/docPropsVTypes"/>
</file>