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24-TA-635: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Azartspēļu un izložu politikas pamatnostādņu 2021.–2027. gadam darba plāna starpposma novērtējumu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Azartspēļu un izložu politikas pamatnostādņu 2021.–2027. gadam darba plāna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izskatījusi precizēto informatīvo ziņojumu "Par Azartspēļu un izložu politikas pamatnostādņu 2021.–2027. gadam darba plāna starpposma novērtējumu" (turpmāk - informatīvais ziņojums) un uztur iebildumu par Informatīvajā ziņojuma sniegto informāciju pie pasākuma Nr. 3.3.2.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norādīt precīzu informāciju pie pasākuma Nr. 3.3.2., lai iezīmētu skaidru tālāko rīcību saistībā ar 04.04.2024. Satversmes tiesas paziņoto spriedumu lietā Nr. 2023-27-03, ar ko atzīst Rīgas domes pieņemto regulējumu par neatbilstošu Satversmei.  Attiecīgi, aicinām paplašināt šobrīd kolonnā "izpildes progress" ietverto aprakstu: "Ņemot vērā minēto, nepieciešams vērtēt un veikt papildus diskusijas licenču centralizācijas jautājuma aktualizēšanā.", iekļaujot precīzāku formulējumu, tai skaitā norādot tālākās rīcības aprakstu, atbildīgos un termiņu, lai nodrošinātu pamatnostādnēs noteikto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š.g. 13. augusta sēdē  (prot. Nr. 31 59. §) tika atbalstīts likumprojekts “Grozījumi Azartspēļu un izložu likumā” (23-TA-890), papildus uzdodot Finanšu ministrijai precizēt likumprojektu un tā anotāciju, nosakot ka azartspēļu un izložu organizētāji savstarpējos norēķinos ar klientiem var izmantot Eiropas Savienībā reģistrētā kredītiestādē atvērtu kontu (protokollēmuma 2. punkts) un ne vēlāk kā deviņu mēnešu laikā no likumprojekta spēkā stāšanās dienas iesniegt Ministru kabinetā priekšlikumus grozījumiem azartspēļu reglamentējošajos normatīvajos aktos azartspēļu pieejamības jautājuma regulēšanai (protokollēmuma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protokollēmuma 3. punktam, Finanšu ministrija ir noteikta kā atbildīgā par uzdevuma izpildi, noteikts uzdevuma izpildes termiņš un sasniedzamais mērķis, līdz ar to uzskatām, ka iebildums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Azartspēļu un izložu politikas pamatnostādņu 2021.–2027. gadam darba plāna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lūdz papildināt informāciju pie 1.23.1. punkta, norādot Latvijas Universitātes 2022. gadā veiktā pētījuma statusu un sagaidāmo publiskošanas laiku. Veselības ministrija ir informējusi LDDK biedru- Latvijas Spēļu biznesa asociācija (LSBA), ka savu pētījumu neveiks agrāk par 2028.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lūdz arī aktualizēt informāciju pie 3.3.2. punkta. 04.04.2024. Satversmes tiesa paziņoja spriedumu lietā Nr. 2023-27-03, atzīstot Rīgas domes pieņemto regulējumu par neatbilstošu Satversmei. Tiesas nolēmums atbild uz jautājumu par viesnīcām – t.i., vai šāds teorētisks izņēmums ir par tādu atzīstams. Vienlaikus tas nerisina pārējo problemātiku, kas radusies normatīvā regulējuma, kas tika pieņemts, ignorējot labas likumdošanas principus, rezultātā. LDDK informē, ka LSBA ir atkārtoti vērsusies pie pašvaldībām, aicinot veidot dialogu un formulēt vienotu pieeju, savukārt Finanšu ministrijai tā ir lūgusi uzņemties koordinējošo lomu. Informatīvajā ziņojumā iekļaujams tālākās rīcības apraksts un termiņš. Izvietojuma jautājums ir izskatāms likumprojekta “Grozījumi Azartspēļu un izložu likumā” (23-TA-890) pamatnostādņu ieviešanai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lūgums papildināt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 ka šobrīd izstrādes procesā ir Latvijas Universitātes Biznesa, vadības un ekonomikas fakultātes pētījums par atkarības procesu izplatību sabiedrībā 2022. gadā, kas indikatīvi tiks pabeigts 2024.gada nogalē, pēc kā varēs noteikt, vai ir mazinājusies atkarība no azartspēlēm un izlozēm.  Konsultācijās par pētījuma metodoloģijas un instrumentārija pielietošanu pētījuma veikšanai piedalījušies gan iestāžu (Slimību profilakses un kontroles centrs, Veselības ministrija, Finanšu ministrija), gan nozares pārstāvji, veidojot visaptverošu skatījumu uz nozarei svarīgiem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ierosinātajām tiesvedībām, kur Satversmes tiesa 2024.gada 4.aprīļa nolēmumā Nr.2023-27-03 atzina Rīgas teritorijas plānojuma teritorijas izmantošanas un apbūves noteikumu 6.8.punktu par neatbilstošu Latvijas Republikas Satversmei, būtu jāvērtē un jāveic papildus diskusijas licenču centralizācijas jautājuma aktualizēšana.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informatīvā ziņojuma projekts satur informāciju par Azartspēļu un izložu politikas pamatnostādnēs 2021.–2027. gadam iekļauto uzdevumu izpildes progresu un neparedz ne uzdevumu pārskatīšanu, ne to aktualizāciju.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Azartspēļu un izložu politikas pamatnostādņu 2021.–2027. gadam darba plāna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2014.gada 2.decembra noteikumu Nr.737 “Attīstības plānošanas dokumentu izstrādes un ietekmes izvērtēšanas noteikumi” 41.1.apakšpunktu, starpposma ietekmes izvērtēšanā novērtē noteikto mērķu un plānoto rezultātu sasniegšanu, skaidro atkāpes no noteiktajiem rezultatīvajiem rādītājiem un analizē ārējās vides izmaiņas, kas ietekmējušas politikas plānošanas dokumenta īstenošanu. Ņemot vērā minēto, lūdzam papildināt informatīvo ziņojumu ar pamatnostādnēs iekļauto politikas rezultatīvo rādītāju progresa novērtējumu, skaidrojot iespējamās atkāpes no plānotajām vērtībām un to ietekmi uz mērķu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pamatnostādnēs iekļauto politikas rezultatīvo rādītāju progresa novērtējumu, skaidrojot iespējamās atkāpes no plānotajām vērtībām un to ietekmi uz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Azartspēļu un izložu politikas pamatnostādņu 2021.–2027. gadam darba plāna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2014.gada 2.decembra noteikumu Nr.737 “Attīstības plānošanas dokumentu izstrādes un ietekmes izvērtēšanas noteikumi” 40.punktam starpposma izvērtējumu veic, lai novērtētu īstenotās politikas ietekmi un </w:t>
            </w:r>
            <w:r w:rsidR="00000000" w:rsidRPr="00000000" w:rsidDel="00000000">
              <w:rPr>
                <w:u w:val="single"/>
                <w:rtl w:val="0"/>
              </w:rPr>
              <w:t xml:space="preserve">pieņemtu lēmumu par vidēja termiņa politikas plānošanas dokumenta izstrādes nepieciešamību nākamajam plānošanas periodam</w:t>
            </w:r>
            <w:r w:rsidR="00000000" w:rsidRPr="00000000" w:rsidDel="00000000">
              <w:rPr>
                <w:rtl w:val="0"/>
              </w:rPr>
              <w:t xml:space="preserve">. Lūdzam attiecīgi papildināt informatīvo ziņojumu, norādot vai ir nepieciešams izstrādāt attīstības plānošanas dokumentu azartspēļu un izložu jomā pēc 2027.gada, vienlaikus ieskicējot tematisko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 ka attiecībā uz azartspēļu un izložu jomas attīstību pēc Pamatnostādnēs iekļauto uzdevumu izpildes, turpmāka attīstības plānošanas dokumentu azartspēļu un izložu jomā izstrāde var notikt pēc Likumprojektā iekļauto izmaiņu efektivitātes novērtējuma. Līdz ar to veicami secīgi soļi, ieviešot jau izstrādātās izmaiņas, veicot to ietekmes pēcnovērtējumu, visbeidzot vērtējot nepieciešamību jauna vidēja termiņa politikas plānošanas dokumenta izstrādei nākamajam plānošanas periodam.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Azartspēļu un izložu politikas pamatnostādņu 2021.–2027. gadam darba plāna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(LSBA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Azartspēļu un izložu politikas pamatnostādnēs 2021.-2027. gadam (turpmāk – Pamatnostādnes) noteiktajiem sasniedzamajiem politikas rezultātiem ir “Atbildīga un godīga uzņēmējdarbības vide”. Cita starpā kā rezultatīvais rādītājs ir definēta uzņēmējdarbības vides pilnveidošana, t.sk. administratīvā sloga mazināšana, centralizējot lēmuma pieņemšanu par azartspēļu organizēšanu (% samazinājums informācijas pieprasījumiem pašvaldībām un pārsūdzēto lietu skaits tiesās). Saskaņā ar Ministru kabineta 2022. gada 8. marta lēmumu (prot. Nr. 13 38. §) Finanšu ministrija precizēja Pamatnostādņu darba plānu, svītrojot 3. rīcības virziena 1. uzdevumu. LSBA vairākkārtīgi ir norādījusi, ka uzskata šo izmaiņu par būtisku, kā arī par tādu, kas var radīt ievērojamu ietekmi uz komersantu spēju izpildīt Pamatnostādnēs paredzētās prasības, daļa no kurām prasa nozīmīgas investīcijas. LSBA ieskatā būtu bijis jāseko grozījumiem arī Pamatnostādnēs, no jauna pārvērtējot visu paredzēto uzdevumu kompleksu.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lūdz nodrošināt pilnvērtīgu diskusiju par sabalansētu iespējamo azartspēļu organizēšanas vietu izvietojuma regulējumu, ņemot vērā Pamatnostādnēs ietvertās atziņas un līdzšinējo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jau šobrīd, neievērojot labas likumdošanas principu, azartspēļu regulējumā ir ieviests haoss, ko apliecina Latvijas Republikas Satversmes tiesā ierosinātās lietas[1], kā arī vēl citu pašvaldību (kopā 17) mēģinājumi izprast Azartspēļu un izložu likuma 2021. gada 15. aprīļa grozījumus, saskaņā ar kuriem likuma 41. panta otrā daļa papildināta ar 11. punktu, paredzot pašvaldībām tiesības pašvaldības saistošajos noteikumos noteikt pašvaldības vietas vai teritorijas, kurās nav atļauts organizēt azartspēles.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neizslēdz iespējamību, ka sabiedrības viedokli un interešu izvērtējumu, kā arī pamattiesību ierobežojuma atbilstību leģitīmajam mērķim varētu izvērtēt arī pašas pašvaldības, taču atgādina, ka likuma “Par izlozēm un azartspēlēm”, kas bija spēkā līdz 31.12.2005.[2], 20. pantā bija noteikts, ka pašvaldības var noteikt teritorijas, kurās nedrīkst atrasties azartspēļu nami (šāda norma bija spēkā jau kopš 1994. gada). Kā atspoguļots Azartspēļu un izložu likuma anotācijā[3], “pie šāda regulējuma ļoti nevienādi tika īstenota pašvaldību loma azartspēļu biznesa regulēšanā. Katrā no pašvaldībām, kura īstenoja minētās tiesības (15 pašvaldības), izvirzītie kritēriji ierobežojumu noteikšanai bija atšķirīgi un mainīgi.” Diemžēl ir konstatējams situācijas atkārtojums.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pauž viedokli, ka Satversmes tiesa jau savā spriedumā lietā Nr. 2022-13-05 (par azartspēļu organizēšanas aizliegumu Ķekavas novadā) sniedza skaidru atbildi, ka jebkurš aizliegums konkrētā vietā vai teritorijā organizēt azartspēles ir pienācīgi jāpamato. Ar vispārīgiem apsvērumiem par azartspēļu kaitīgumu un vispārīgu norādi uz sabiedrības interesēm nepietiek. Turklāt, kā tiesa uzsvēra, nosakot azartspēļu organizēšanas ierobežojumus, pašvaldībai ir jānodrošina līdzsvars starp azartspēļu organizēšanu un sabiedrības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atkārtoti lūdz pēc iespējas ātrāk veikt izvērtējumu par nepieciešamajiem grozījumiem normatīvajā regulējumā, lai nodrošinātu tiesisko noteiktību, tiesiskās paļāvības principa, tiesību uz īpašumu ievērošanu, kā arī investīciju aizsardzību. Kavēšanās ar šī jautājuma risināšanu apgrūtina ga pašvaldības, gan uzņēmējus, gan valsti, gan nevajadzīgi noslogo tieslietu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Lieta Nr. 2022-13-05 un lieta Nr. 2022-25-05.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https://likumi.lv/ta/id/57414-par-izlozem-un-azartspelem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https://www.saeima.lv/L_Saeima8/lasa-dd=LP1419_0.htm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satur informāciju par Azartspēļu un izložu politikas pamatnostādnēs 2021.–2027. gadam iekļauto uzdevumu izpildes progresu un neparedz ne uzdevumu pārskatīšanu, ne to aktualizāciju.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24-TA-635</w:t>
    </w:r>
    <w:r>
      <w:br/>
    </w:r>
    <w:r w:rsidR="00000000" w:rsidRPr="00000000" w:rsidDel="00000000">
      <w:rPr>
        <w:rtl w:val="0"/>
      </w:rPr>
      <w:t xml:space="preserve">18.09.2024. 23.05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24-TA-635</w:t>
    </w:r>
    <w:r>
      <w:br/>
    </w:r>
    <w:r w:rsidR="00000000" w:rsidRPr="00000000" w:rsidDel="00000000">
      <w:rPr>
        <w:rtl w:val="0"/>
      </w:rPr>
      <w:t xml:space="preserve">18.09.2024. 23.05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Izziņa_24-TA-635.docx</dc:title>
</cp:coreProperties>
</file>

<file path=docProps/custom.xml><?xml version="1.0" encoding="utf-8"?>
<Properties xmlns="http://schemas.openxmlformats.org/officeDocument/2006/custom-properties" xmlns:vt="http://schemas.openxmlformats.org/officeDocument/2006/docPropsVTypes"/>
</file>