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F88" w:rsidRDefault="00402F88" w:rsidP="00402F88">
      <w:pPr>
        <w:rPr>
          <w:rFonts w:ascii="Calibri" w:eastAsia="Times New Roman" w:hAnsi="Calibri" w:cs="Calibri"/>
          <w:lang w:val="en-US"/>
        </w:rPr>
      </w:pPr>
      <w:r>
        <w:rPr>
          <w:rFonts w:ascii="Calibri" w:eastAsia="Times New Roman" w:hAnsi="Calibri" w:cs="Calibri"/>
          <w:b/>
          <w:bCs/>
          <w:lang w:val="en-US"/>
        </w:rPr>
        <w:t>From:</w:t>
      </w:r>
      <w:r>
        <w:rPr>
          <w:rFonts w:ascii="Calibri" w:eastAsia="Times New Roman" w:hAnsi="Calibri" w:cs="Calibri"/>
          <w:lang w:val="en-US"/>
        </w:rPr>
        <w:t xml:space="preserve"> Ilze </w:t>
      </w:r>
      <w:proofErr w:type="spellStart"/>
      <w:r>
        <w:rPr>
          <w:rFonts w:ascii="Calibri" w:eastAsia="Times New Roman" w:hAnsi="Calibri" w:cs="Calibri"/>
          <w:lang w:val="en-US"/>
        </w:rPr>
        <w:t>Māliņa</w:t>
      </w:r>
      <w:proofErr w:type="spellEnd"/>
      <w:r>
        <w:rPr>
          <w:rFonts w:ascii="Calibri" w:eastAsia="Times New Roman" w:hAnsi="Calibri" w:cs="Calibri"/>
          <w:lang w:val="en-US"/>
        </w:rPr>
        <w:t xml:space="preserve"> &lt;Ilze.Malina@TM.GOV.LV&gt; </w:t>
      </w:r>
      <w:r>
        <w:rPr>
          <w:rFonts w:ascii="Calibri" w:eastAsia="Times New Roman" w:hAnsi="Calibri" w:cs="Calibri"/>
          <w:lang w:val="en-US"/>
        </w:rPr>
        <w:br/>
      </w:r>
      <w:r>
        <w:rPr>
          <w:rFonts w:ascii="Calibri" w:eastAsia="Times New Roman" w:hAnsi="Calibri" w:cs="Calibri"/>
          <w:b/>
          <w:bCs/>
          <w:lang w:val="en-US"/>
        </w:rPr>
        <w:t>Sent:</w:t>
      </w:r>
      <w:r>
        <w:rPr>
          <w:rFonts w:ascii="Calibri" w:eastAsia="Times New Roman" w:hAnsi="Calibri" w:cs="Calibri"/>
          <w:lang w:val="en-US"/>
        </w:rPr>
        <w:t xml:space="preserve"> </w:t>
      </w:r>
      <w:proofErr w:type="spellStart"/>
      <w:r>
        <w:rPr>
          <w:rFonts w:ascii="Calibri" w:eastAsia="Times New Roman" w:hAnsi="Calibri" w:cs="Calibri"/>
          <w:lang w:val="en-US"/>
        </w:rPr>
        <w:t>otrdiena</w:t>
      </w:r>
      <w:proofErr w:type="spellEnd"/>
      <w:r>
        <w:rPr>
          <w:rFonts w:ascii="Calibri" w:eastAsia="Times New Roman" w:hAnsi="Calibri" w:cs="Calibri"/>
          <w:lang w:val="en-US"/>
        </w:rPr>
        <w:t xml:space="preserve">, 2021. </w:t>
      </w:r>
      <w:proofErr w:type="spellStart"/>
      <w:proofErr w:type="gramStart"/>
      <w:r>
        <w:rPr>
          <w:rFonts w:ascii="Calibri" w:eastAsia="Times New Roman" w:hAnsi="Calibri" w:cs="Calibri"/>
          <w:lang w:val="en-US"/>
        </w:rPr>
        <w:t>gada</w:t>
      </w:r>
      <w:proofErr w:type="spellEnd"/>
      <w:proofErr w:type="gramEnd"/>
      <w:r>
        <w:rPr>
          <w:rFonts w:ascii="Calibri" w:eastAsia="Times New Roman" w:hAnsi="Calibri" w:cs="Calibri"/>
          <w:lang w:val="en-US"/>
        </w:rPr>
        <w:t xml:space="preserve"> 26. </w:t>
      </w:r>
      <w:proofErr w:type="spellStart"/>
      <w:proofErr w:type="gramStart"/>
      <w:r>
        <w:rPr>
          <w:rFonts w:ascii="Calibri" w:eastAsia="Times New Roman" w:hAnsi="Calibri" w:cs="Calibri"/>
          <w:lang w:val="en-US"/>
        </w:rPr>
        <w:t>oktobris</w:t>
      </w:r>
      <w:proofErr w:type="spellEnd"/>
      <w:proofErr w:type="gramEnd"/>
      <w:r>
        <w:rPr>
          <w:rFonts w:ascii="Calibri" w:eastAsia="Times New Roman" w:hAnsi="Calibri" w:cs="Calibri"/>
          <w:lang w:val="en-US"/>
        </w:rPr>
        <w:t xml:space="preserve"> 16:50</w:t>
      </w:r>
      <w:r>
        <w:rPr>
          <w:rFonts w:ascii="Calibri" w:eastAsia="Times New Roman" w:hAnsi="Calibri" w:cs="Calibri"/>
          <w:lang w:val="en-US"/>
        </w:rPr>
        <w:br/>
      </w:r>
      <w:r>
        <w:rPr>
          <w:rFonts w:ascii="Calibri" w:eastAsia="Times New Roman" w:hAnsi="Calibri" w:cs="Calibri"/>
          <w:b/>
          <w:bCs/>
          <w:lang w:val="en-US"/>
        </w:rPr>
        <w:t>To:</w:t>
      </w:r>
      <w:r>
        <w:rPr>
          <w:rFonts w:ascii="Calibri" w:eastAsia="Times New Roman" w:hAnsi="Calibri" w:cs="Calibri"/>
          <w:lang w:val="en-US"/>
        </w:rPr>
        <w:t xml:space="preserve"> Pasts &lt;Pasts@fm.gov.lv&gt;</w:t>
      </w:r>
      <w:r>
        <w:rPr>
          <w:rFonts w:ascii="Calibri" w:eastAsia="Times New Roman" w:hAnsi="Calibri" w:cs="Calibri"/>
          <w:lang w:val="en-US"/>
        </w:rPr>
        <w:br/>
      </w:r>
      <w:r>
        <w:rPr>
          <w:rFonts w:ascii="Calibri" w:eastAsia="Times New Roman" w:hAnsi="Calibri" w:cs="Calibri"/>
          <w:b/>
          <w:bCs/>
          <w:lang w:val="en-US"/>
        </w:rPr>
        <w:t>Cc:</w:t>
      </w:r>
      <w:r>
        <w:rPr>
          <w:rFonts w:ascii="Calibri" w:eastAsia="Times New Roman" w:hAnsi="Calibri" w:cs="Calibri"/>
          <w:lang w:val="en-US"/>
        </w:rPr>
        <w:t xml:space="preserve"> TM KANCELEJA &lt;pasts@tm.gov.lv&gt;; Ella Hartmane &lt;ella.hartmane@fm.gov.lv&gt;; </w:t>
      </w:r>
      <w:proofErr w:type="spellStart"/>
      <w:r>
        <w:rPr>
          <w:rFonts w:ascii="Calibri" w:eastAsia="Times New Roman" w:hAnsi="Calibri" w:cs="Calibri"/>
          <w:lang w:val="en-US"/>
        </w:rPr>
        <w:t>Viesturs</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Blūmentāls</w:t>
      </w:r>
      <w:proofErr w:type="spellEnd"/>
      <w:r>
        <w:rPr>
          <w:rFonts w:ascii="Calibri" w:eastAsia="Times New Roman" w:hAnsi="Calibri" w:cs="Calibri"/>
          <w:lang w:val="en-US"/>
        </w:rPr>
        <w:t xml:space="preserve"> &lt;Viesturs.Blumentals@tm.gov.lv&gt;</w:t>
      </w:r>
      <w:r>
        <w:rPr>
          <w:rFonts w:ascii="Calibri" w:eastAsia="Times New Roman" w:hAnsi="Calibri" w:cs="Calibri"/>
          <w:lang w:val="en-US"/>
        </w:rPr>
        <w:br/>
      </w:r>
      <w:r>
        <w:rPr>
          <w:rFonts w:ascii="Calibri" w:eastAsia="Times New Roman" w:hAnsi="Calibri" w:cs="Calibri"/>
          <w:b/>
          <w:bCs/>
          <w:lang w:val="en-US"/>
        </w:rPr>
        <w:t>Subject:</w:t>
      </w:r>
      <w:r>
        <w:rPr>
          <w:rFonts w:ascii="Calibri" w:eastAsia="Times New Roman" w:hAnsi="Calibri" w:cs="Calibri"/>
          <w:lang w:val="en-US"/>
        </w:rPr>
        <w:t xml:space="preserve"> </w:t>
      </w:r>
      <w:proofErr w:type="spellStart"/>
      <w:r>
        <w:rPr>
          <w:rFonts w:ascii="Calibri" w:eastAsia="Times New Roman" w:hAnsi="Calibri" w:cs="Calibri"/>
          <w:lang w:val="en-US"/>
        </w:rPr>
        <w:t>Atb</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Ministru</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kabineta</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noteikumu</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projekts</w:t>
      </w:r>
      <w:proofErr w:type="spellEnd"/>
      <w:r>
        <w:rPr>
          <w:rFonts w:ascii="Calibri" w:eastAsia="Times New Roman" w:hAnsi="Calibri" w:cs="Calibri"/>
          <w:lang w:val="en-US"/>
        </w:rPr>
        <w:t xml:space="preserve"> (VSS-757) </w:t>
      </w:r>
      <w:proofErr w:type="spellStart"/>
      <w:r>
        <w:rPr>
          <w:rFonts w:ascii="Calibri" w:eastAsia="Times New Roman" w:hAnsi="Calibri" w:cs="Calibri"/>
          <w:lang w:val="en-US"/>
        </w:rPr>
        <w:t>atkārtotai</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saskaņošanos</w:t>
      </w:r>
      <w:proofErr w:type="spellEnd"/>
    </w:p>
    <w:p w:rsidR="00402F88" w:rsidRDefault="00402F88" w:rsidP="00402F88">
      <w:pPr>
        <w:rPr>
          <w:rFonts w:ascii="Times New Roman" w:hAnsi="Times New Roman" w:cs="Times New Roman"/>
          <w:sz w:val="24"/>
          <w:szCs w:val="24"/>
        </w:rPr>
      </w:pP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Tieslietu ministrija saskaņā ar Finanšu ministrijas 2021. gada 19. oktobra elektronisko sūtījumu ir izskatījusi Ministru kabineta noteikumu projektu "Kārtība, kādā par akcīzes precēm samaksāto akcīzes nodokli pārskaita nodokļu parādu segšanai, turpmākajiem nodokļu maksājumiem vai atmaksā" (turpmāk – projekts) un atbalsta projekta virzību, izsakot šādus iebildumus: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1. V</w:t>
      </w:r>
      <w:r>
        <w:rPr>
          <w:rFonts w:ascii="Calibri" w:hAnsi="Calibri" w:cstheme="minorHAnsi"/>
          <w:shd w:val="clear" w:color="auto" w:fill="FFFFFF"/>
        </w:rPr>
        <w:t xml:space="preserve">ēršam uzmanību uz to, ka </w:t>
      </w:r>
      <w:r>
        <w:rPr>
          <w:rFonts w:ascii="Calibri" w:hAnsi="Calibri" w:cstheme="minorHAnsi"/>
          <w:bdr w:val="none" w:sz="0" w:space="0" w:color="auto" w:frame="1"/>
          <w:shd w:val="clear" w:color="auto" w:fill="FFFFFF"/>
        </w:rPr>
        <w:t>Ministru kabineta 2009. gada 3. februāra noteikumu Nr. 108 "Normatīvo aktu projektu sagatavošanas noteikumi" 100. punkts noteic, ka Ministru kabineta n</w:t>
      </w:r>
      <w:r>
        <w:rPr>
          <w:rFonts w:ascii="Calibri" w:eastAsia="Times New Roman" w:hAnsi="Calibri" w:cstheme="minorHAnsi"/>
          <w:color w:val="000000"/>
        </w:rPr>
        <w:t xml:space="preserve">oteikumu projekta pirmajā punktā secīgi raksta vārdus "noteikumi nosaka" un </w:t>
      </w:r>
      <w:r>
        <w:rPr>
          <w:rFonts w:ascii="Calibri" w:eastAsia="Times New Roman" w:hAnsi="Calibri" w:cstheme="minorHAnsi"/>
          <w:color w:val="000000"/>
          <w:u w:val="single"/>
        </w:rPr>
        <w:t>likumā noteikto pilnvarojumu Ministru kabinetam</w:t>
      </w:r>
      <w:r>
        <w:rPr>
          <w:rFonts w:ascii="Calibri" w:eastAsia="Times New Roman" w:hAnsi="Calibri" w:cstheme="minorHAnsi"/>
          <w:color w:val="000000"/>
        </w:rPr>
        <w:t>.</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eastAsia="Times New Roman" w:hAnsi="Calibri" w:cstheme="minorHAnsi"/>
          <w:color w:val="000000"/>
        </w:rPr>
        <w:t>Projektā</w:t>
      </w:r>
      <w:r>
        <w:rPr>
          <w:rFonts w:ascii="Calibri" w:hAnsi="Calibri" w:cstheme="minorHAnsi"/>
          <w:color w:val="000000"/>
        </w:rPr>
        <w:t xml:space="preserve"> ietvertajā norādē, saskaņā ar kuru likumu ir izdoti noteikumi, minēta likuma "Par akcīzes nodokli" (turpmāk – likums) 26. panta piektā daļa un 27. panta 12.</w:t>
      </w:r>
      <w:r>
        <w:rPr>
          <w:rFonts w:ascii="Calibri" w:hAnsi="Calibri" w:cstheme="minorHAnsi"/>
          <w:color w:val="000000"/>
          <w:vertAlign w:val="superscript"/>
        </w:rPr>
        <w:t>1</w:t>
      </w:r>
      <w:r>
        <w:rPr>
          <w:rFonts w:ascii="Calibri" w:hAnsi="Calibri" w:cstheme="minorHAnsi"/>
          <w:color w:val="000000"/>
        </w:rPr>
        <w:t> daļa.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bdr w:val="none" w:sz="0" w:space="0" w:color="auto" w:frame="1"/>
          <w:shd w:val="clear" w:color="auto" w:fill="FFFFFF"/>
        </w:rPr>
        <w:t xml:space="preserve">Likuma 26. panta piektā daļas noteic, ka </w:t>
      </w:r>
      <w:r>
        <w:rPr>
          <w:rFonts w:ascii="Calibri" w:hAnsi="Calibri" w:cstheme="minorHAnsi"/>
          <w:u w:val="single"/>
          <w:shd w:val="clear" w:color="auto" w:fill="FFFFFF"/>
        </w:rPr>
        <w:t>Ministru kabinets nosaka kārtību (iesniedzamos dokumentus, akcīzes nodokļa (turpmāk – nodoklis) atmaksāšanas termiņus, prasības nodokļa samaksas apliecinājumam un citus nosacījumus), kādā nodokli pārskaita nodokļu parādu segšanai, turpmākajiem nodokļa maksājumiem, citu nodokļu maksājumiem vai nodokli atmaksā</w:t>
      </w:r>
      <w:r>
        <w:rPr>
          <w:rFonts w:ascii="Calibri" w:hAnsi="Calibri" w:cstheme="minorHAnsi"/>
          <w:shd w:val="clear" w:color="auto" w:fill="FFFFFF"/>
        </w:rPr>
        <w:t>. Savukārt likumprojektā "Grozījumi likumā "Par akcīzes nodokli"" (</w:t>
      </w:r>
      <w:proofErr w:type="spellStart"/>
      <w:r>
        <w:rPr>
          <w:rFonts w:ascii="Calibri" w:hAnsi="Calibri" w:cstheme="minorHAnsi"/>
          <w:shd w:val="clear" w:color="auto" w:fill="FFFFFF"/>
        </w:rPr>
        <w:t>Reģ</w:t>
      </w:r>
      <w:proofErr w:type="spellEnd"/>
      <w:r>
        <w:rPr>
          <w:rFonts w:ascii="Calibri" w:hAnsi="Calibri" w:cstheme="minorHAnsi"/>
          <w:shd w:val="clear" w:color="auto" w:fill="FFFFFF"/>
        </w:rPr>
        <w:t xml:space="preserve">. Nr. 1058/Lp13) (turpmāk – likumprojekts) paredzētā likuma </w:t>
      </w:r>
      <w:r>
        <w:rPr>
          <w:rFonts w:ascii="Calibri" w:hAnsi="Calibri" w:cstheme="minorHAnsi"/>
          <w:color w:val="000000"/>
        </w:rPr>
        <w:t>27. panta 12.</w:t>
      </w:r>
      <w:r>
        <w:rPr>
          <w:rFonts w:ascii="Calibri" w:hAnsi="Calibri" w:cstheme="minorHAnsi"/>
          <w:color w:val="000000"/>
          <w:vertAlign w:val="superscript"/>
        </w:rPr>
        <w:t>1</w:t>
      </w:r>
      <w:r>
        <w:rPr>
          <w:rFonts w:ascii="Calibri" w:hAnsi="Calibri" w:cstheme="minorHAnsi"/>
          <w:color w:val="000000"/>
        </w:rPr>
        <w:t xml:space="preserve"> daļa noteic, ka </w:t>
      </w:r>
      <w:r>
        <w:rPr>
          <w:rFonts w:ascii="Calibri" w:hAnsi="Calibri" w:cstheme="minorHAnsi"/>
          <w:color w:val="000000"/>
          <w:u w:val="single"/>
        </w:rPr>
        <w:t>Ministru kabinets nosaka kārtību (tajā skaitā prasības nodokļa maksātājam un iesniedzamos dokumentus), kādā saskaņā ar šīs daļas nosacījumiem minēto nodokli pārskaita nodokļu parādu segšanai, turpmākajiem nodokļu maksājumiem vai nodokli atmaksā un veic to akcīzes preču iznīcināšanu vai pārstrādi, kuras ir marķētas ar akcīzes nodokļa markām</w:t>
      </w:r>
      <w:r>
        <w:rPr>
          <w:rFonts w:ascii="Calibri" w:hAnsi="Calibri" w:cstheme="minorHAnsi"/>
          <w:color w:val="000000"/>
        </w:rPr>
        <w:t xml:space="preserve"> </w:t>
      </w:r>
      <w:r>
        <w:rPr>
          <w:rFonts w:ascii="Calibri" w:hAnsi="Calibri" w:cstheme="minorHAnsi"/>
          <w:i/>
          <w:iCs/>
          <w:color w:val="000000"/>
        </w:rPr>
        <w:t xml:space="preserve">(skat. </w:t>
      </w:r>
      <w:r>
        <w:rPr>
          <w:rFonts w:ascii="Calibri" w:hAnsi="Calibri" w:cstheme="minorHAnsi"/>
          <w:i/>
          <w:iCs/>
          <w:color w:val="000000"/>
        </w:rPr>
        <w:fldChar w:fldCharType="begin"/>
      </w:r>
      <w:r>
        <w:rPr>
          <w:rFonts w:ascii="Calibri" w:hAnsi="Calibri" w:cstheme="minorHAnsi"/>
          <w:i/>
          <w:iCs/>
          <w:color w:val="000000"/>
        </w:rPr>
        <w:instrText xml:space="preserve"> HYPERLINK "https://titania.saeima.lv/LIVS13/saeimalivs13.nsf/0/" </w:instrText>
      </w:r>
      <w:r>
        <w:rPr>
          <w:rFonts w:ascii="Calibri" w:hAnsi="Calibri" w:cstheme="minorHAnsi"/>
          <w:i/>
          <w:iCs/>
          <w:color w:val="000000"/>
        </w:rPr>
        <w:fldChar w:fldCharType="separate"/>
      </w:r>
      <w:r>
        <w:rPr>
          <w:rStyle w:val="Hyperlink"/>
          <w:rFonts w:ascii="Calibri" w:hAnsi="Calibri" w:cstheme="minorHAnsi"/>
          <w:i/>
          <w:iCs/>
        </w:rPr>
        <w:t>https://titania.saeima.lv/LIVS13/saeimalivs13.nsf/0/</w:t>
      </w:r>
      <w:r>
        <w:rPr>
          <w:rFonts w:ascii="Calibri" w:hAnsi="Calibri" w:cstheme="minorHAnsi"/>
          <w:i/>
          <w:iCs/>
          <w:color w:val="000000"/>
        </w:rPr>
        <w:fldChar w:fldCharType="end"/>
      </w:r>
      <w:r>
        <w:rPr>
          <w:rFonts w:ascii="Calibri" w:hAnsi="Calibri" w:cstheme="minorHAnsi"/>
          <w:color w:val="000000"/>
        </w:rPr>
        <w:t> </w:t>
      </w:r>
    </w:p>
    <w:p w:rsidR="00402F88" w:rsidRDefault="00402F88" w:rsidP="00402F88">
      <w:pPr>
        <w:pStyle w:val="NoSpacing"/>
        <w:jc w:val="both"/>
        <w:rPr>
          <w:rFonts w:ascii="Calibri" w:hAnsi="Calibri" w:cs="Calibri"/>
          <w:color w:val="000000"/>
          <w:sz w:val="22"/>
          <w:szCs w:val="22"/>
        </w:rPr>
      </w:pPr>
      <w:r>
        <w:rPr>
          <w:rFonts w:ascii="Calibri" w:hAnsi="Calibri" w:cstheme="minorHAnsi"/>
          <w:i/>
          <w:iCs/>
          <w:color w:val="000000"/>
        </w:rPr>
        <w:t>17ACC75B0A2EF294C225876E00492A4C?OpenDocument)</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Ievērojot minēto, lūdzam precizēt projekta 1. punktu atbilstoši likuma 26. panta piektajā daļā un likumprojektā paredzētajā likuma 27. panta 12.</w:t>
      </w:r>
      <w:r>
        <w:rPr>
          <w:rFonts w:ascii="Calibri" w:hAnsi="Calibri" w:cstheme="minorHAnsi"/>
          <w:color w:val="000000"/>
          <w:vertAlign w:val="superscript"/>
        </w:rPr>
        <w:t>1</w:t>
      </w:r>
      <w:r>
        <w:rPr>
          <w:rFonts w:ascii="Calibri" w:hAnsi="Calibri" w:cstheme="minorHAnsi"/>
          <w:color w:val="000000"/>
        </w:rPr>
        <w:t> daļā noteiktajam pilnvarojumam Ministru kabinetam. Atbilstoši minētajam lūdzam izvērtēt iespēju precizēt projektā paredzēto nodaļu nosaukumus.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2. Ievērojot, ka nav skaidrs, kas ir projekta 2. punktā minētā uzskaites jautājumos kvalificētā trešā persona, lūdzam precizēt projekta 2. punktā paredzēto regulējumu vai papildināt</w:t>
      </w:r>
      <w:r>
        <w:rPr>
          <w:rFonts w:ascii="Calibri" w:eastAsia="Times New Roman" w:hAnsi="Calibri" w:cstheme="minorHAnsi"/>
          <w:color w:val="000000"/>
        </w:rPr>
        <w:t xml:space="preserve"> </w:t>
      </w:r>
      <w:r>
        <w:rPr>
          <w:rFonts w:ascii="Calibri" w:hAnsi="Calibri" w:cstheme="minorHAnsi"/>
          <w:shd w:val="clear" w:color="auto" w:fill="FFFFFF"/>
        </w:rPr>
        <w:t>p</w:t>
      </w:r>
      <w:r>
        <w:rPr>
          <w:rFonts w:ascii="Calibri" w:hAnsi="Calibri" w:cstheme="minorHAnsi"/>
          <w:color w:val="000000"/>
        </w:rPr>
        <w:t xml:space="preserve">rojekta sākotnējās </w:t>
      </w:r>
      <w:r>
        <w:rPr>
          <w:rFonts w:ascii="Calibri" w:hAnsi="Calibri" w:cstheme="minorHAnsi"/>
          <w:i/>
          <w:iCs/>
          <w:color w:val="000000"/>
        </w:rPr>
        <w:t>(</w:t>
      </w:r>
      <w:proofErr w:type="spellStart"/>
      <w:r>
        <w:rPr>
          <w:rFonts w:ascii="Calibri" w:hAnsi="Calibri" w:cstheme="minorHAnsi"/>
          <w:i/>
          <w:iCs/>
          <w:color w:val="000000"/>
        </w:rPr>
        <w:t>ex-ante</w:t>
      </w:r>
      <w:proofErr w:type="spellEnd"/>
      <w:r>
        <w:rPr>
          <w:rFonts w:ascii="Calibri" w:hAnsi="Calibri" w:cstheme="minorHAnsi"/>
          <w:i/>
          <w:iCs/>
          <w:color w:val="000000"/>
        </w:rPr>
        <w:t>)</w:t>
      </w:r>
      <w:r>
        <w:rPr>
          <w:rFonts w:ascii="Calibri" w:hAnsi="Calibri" w:cstheme="minorHAnsi"/>
          <w:color w:val="000000"/>
        </w:rPr>
        <w:t xml:space="preserve"> ietekmes novērtējuma ziņojumu (turpmāk – anotācija) </w:t>
      </w:r>
      <w:r>
        <w:rPr>
          <w:rFonts w:ascii="Calibri" w:eastAsia="Times New Roman" w:hAnsi="Calibri" w:cstheme="minorHAnsi"/>
          <w:color w:val="000000"/>
        </w:rPr>
        <w:t>ar atbilstošu skaidrojumu.</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 xml:space="preserve">3. Vēršam uzmanību uz to, ka projekta 4. punktā paredzētais regulējums ir neskaidrs. Proti, atbilstoši Administratīvā procesa likuma 55. panta 1. punktā noteiktajam </w:t>
      </w:r>
      <w:r>
        <w:rPr>
          <w:rFonts w:ascii="Calibri" w:hAnsi="Calibri" w:cstheme="minorHAnsi"/>
          <w:color w:val="000000"/>
          <w:u w:val="single"/>
        </w:rPr>
        <w:t>administratīvo lietu iestādē ierosina uz iesnieguma pamata</w:t>
      </w:r>
      <w:r>
        <w:rPr>
          <w:rFonts w:ascii="Calibri" w:hAnsi="Calibri" w:cstheme="minorHAnsi"/>
          <w:color w:val="000000"/>
        </w:rPr>
        <w:t>. Turklāt Administratīvā procesa likuma 64. panta pirmā daļa noteic, ka, j</w:t>
      </w:r>
      <w:r>
        <w:rPr>
          <w:rFonts w:ascii="Calibri" w:hAnsi="Calibri" w:cstheme="minorHAnsi"/>
          <w:shd w:val="clear" w:color="auto" w:fill="FFFFFF"/>
        </w:rPr>
        <w:t xml:space="preserve">a administratīvā lieta ierosināta uz iesnieguma pamata, </w:t>
      </w:r>
      <w:r>
        <w:rPr>
          <w:rFonts w:ascii="Calibri" w:hAnsi="Calibri" w:cstheme="minorHAnsi"/>
          <w:u w:val="single"/>
          <w:shd w:val="clear" w:color="auto" w:fill="FFFFFF"/>
        </w:rPr>
        <w:t>iestāde pieņem lēmumu par administratīvā akta izdošanu viena mēneša laikā no iesnieguma saņemšanas dienas</w:t>
      </w:r>
      <w:r>
        <w:rPr>
          <w:rFonts w:ascii="Calibri" w:hAnsi="Calibri" w:cstheme="minorHAnsi"/>
          <w:shd w:val="clear" w:color="auto" w:fill="FFFFFF"/>
        </w:rPr>
        <w:t xml:space="preserve">, ja likumā nav noteikts cits termiņš vai citā normatīvajā aktā – īsāks termiņš administratīvā akta izdošanai. Līdz ar to projekta 4. punktā noteiktais, ka </w:t>
      </w:r>
      <w:r>
        <w:rPr>
          <w:rFonts w:ascii="Calibri" w:hAnsi="Calibri" w:cstheme="minorHAnsi"/>
          <w:color w:val="000000"/>
        </w:rPr>
        <w:t xml:space="preserve">Valsts ieņēmumu dienests </w:t>
      </w:r>
      <w:r>
        <w:rPr>
          <w:rFonts w:ascii="Calibri" w:hAnsi="Calibri" w:cstheme="minorHAnsi"/>
          <w:color w:val="000000"/>
          <w:u w:val="single"/>
        </w:rPr>
        <w:t xml:space="preserve">ar dienu, kad nodokļa </w:t>
      </w:r>
      <w:r>
        <w:rPr>
          <w:rFonts w:ascii="Calibri" w:hAnsi="Calibri" w:cstheme="minorHAnsi"/>
          <w:color w:val="000000"/>
          <w:u w:val="single"/>
        </w:rPr>
        <w:lastRenderedPageBreak/>
        <w:t>maksātājs ir izpildījis šo noteikumu prasības, pieņem lēmumu par samaksātā nodokļa pārskaitīšanu nodokļu parādu segšanai, turpmākajiem nodokļu maksājumiem vai atmaksā samaksāto nodokli</w:t>
      </w:r>
      <w:r>
        <w:rPr>
          <w:rFonts w:ascii="Calibri" w:hAnsi="Calibri" w:cstheme="minorHAnsi"/>
          <w:color w:val="000000"/>
        </w:rPr>
        <w:t>. Turklāt atsauce uz visām projektā paredzētajām prasībām ir pārāk plaša un neskaidra.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 xml:space="preserve">Vienlaikus vēršam uzmanību uz to, ka no projekta 4. punktā paredzētā regulējuma izriet, ka </w:t>
      </w:r>
      <w:r>
        <w:rPr>
          <w:rFonts w:ascii="Calibri" w:hAnsi="Calibri" w:cstheme="minorHAnsi"/>
          <w:color w:val="000000"/>
          <w:u w:val="single"/>
        </w:rPr>
        <w:t>Valsts ieņēmumu dienests pieņem lēmumu par samaksātā nodokļa pārskaitīšanu nodokļu parādu segšanai, turpmākajiem nodokļu maksājumiem vai atmaksā samaksāto nodokli</w:t>
      </w:r>
      <w:r>
        <w:rPr>
          <w:rFonts w:ascii="Calibri" w:hAnsi="Calibri" w:cstheme="minorHAnsi"/>
          <w:color w:val="000000"/>
        </w:rPr>
        <w:t xml:space="preserve">. Savukārt no projekta 26. punktā paredzētā regulējuma izriet, ka </w:t>
      </w:r>
      <w:r>
        <w:rPr>
          <w:rFonts w:ascii="Calibri" w:hAnsi="Calibri" w:cstheme="minorHAnsi"/>
          <w:color w:val="000000"/>
          <w:u w:val="single"/>
        </w:rPr>
        <w:t>akcīzes preču iznīcināšanas akts apliecina, ka par iznīcinātajām akcīzes precēm samaksāto nodokli ir tiesības pārskaitīt nodokļa maksātāja nodokļu parādu segšanai, turpmākajiem nodokļu maksājumiem vai atmaksā nodokļa maksātājam</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Vēršam uzmanību uz to, ka Administratīvā procesa likuma 3. panta pirmā daļa noteic, ka š</w:t>
      </w:r>
      <w:r>
        <w:rPr>
          <w:rFonts w:ascii="Calibri" w:hAnsi="Calibri" w:cstheme="minorHAnsi"/>
          <w:shd w:val="clear" w:color="auto" w:fill="FFFFFF"/>
        </w:rPr>
        <w:t>o likumu piemēro administratīvajā procesā iestādē, ciktāl citu likumu speciālajās tiesību normās nav noteikta cita kārtība. Līdz ar to, ja speciālajās tiesību normās ir nepieciešams noteikt citādāku regulējumu, nekā to paredz Administratīvā procesa likums, nepieciešams attiecīgs regulējums likumā.</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 xml:space="preserve">Papildus vēršam uzmanību uz to, ka </w:t>
      </w:r>
      <w:r>
        <w:rPr>
          <w:rFonts w:ascii="Calibri" w:hAnsi="Calibri" w:cstheme="minorHAnsi"/>
          <w:bdr w:val="none" w:sz="0" w:space="0" w:color="auto" w:frame="1"/>
          <w:shd w:val="clear" w:color="auto" w:fill="FFFFFF"/>
        </w:rPr>
        <w:t>Ministru kabineta 2009. gada 3. februāra noteikumu Nr. 108 "Normatīvo aktu projektu sagatavošanas noteikumi" 3.1. apakšpunkts noteic, ka normatīvā akta projektā neietver normas, kas ir deklaratīvas, tādēļ projekta 4. punktā minētie vārdi "Administratīvā procesa likumā noteiktajā kārtībā" ir lieki.</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Ievērojot minēto, lūdzam precizēt projekta 4. un 26. punktā paredzēto regulējumu, kā arī papildināt anotāciju ar atbilstošu skaidrojumu.</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4. V</w:t>
      </w:r>
      <w:r>
        <w:rPr>
          <w:rFonts w:ascii="Calibri" w:hAnsi="Calibri" w:cstheme="minorHAnsi"/>
          <w:color w:val="000000"/>
        </w:rPr>
        <w:t xml:space="preserve">ēršam uzmanību uz to, ka no Administratīvā procesa likuma 56. panta pirmajā daļā noteiktā izriet, ka </w:t>
      </w:r>
      <w:r>
        <w:rPr>
          <w:rFonts w:ascii="Calibri" w:hAnsi="Calibri" w:cstheme="minorHAnsi"/>
          <w:color w:val="000000"/>
          <w:u w:val="single"/>
        </w:rPr>
        <w:t>i</w:t>
      </w:r>
      <w:r>
        <w:rPr>
          <w:rFonts w:ascii="Calibri" w:hAnsi="Calibri" w:cstheme="minorHAnsi"/>
          <w:u w:val="single"/>
          <w:shd w:val="clear" w:color="auto" w:fill="FFFFFF"/>
        </w:rPr>
        <w:t xml:space="preserve">esniegumu var iesniegt </w:t>
      </w:r>
      <w:proofErr w:type="spellStart"/>
      <w:r>
        <w:rPr>
          <w:rFonts w:ascii="Calibri" w:hAnsi="Calibri" w:cstheme="minorHAnsi"/>
          <w:u w:val="single"/>
          <w:shd w:val="clear" w:color="auto" w:fill="FFFFFF"/>
        </w:rPr>
        <w:t>rakstveidā</w:t>
      </w:r>
      <w:proofErr w:type="spellEnd"/>
      <w:r>
        <w:rPr>
          <w:rFonts w:ascii="Calibri" w:hAnsi="Calibri" w:cstheme="minorHAnsi"/>
          <w:shd w:val="clear" w:color="auto" w:fill="FFFFFF"/>
        </w:rPr>
        <w:t>.</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 xml:space="preserve">Ievērojot minēto, kā arī to, ka </w:t>
      </w:r>
      <w:r>
        <w:rPr>
          <w:rFonts w:ascii="Calibri" w:hAnsi="Calibri" w:cstheme="minorHAnsi"/>
          <w:bdr w:val="none" w:sz="0" w:space="0" w:color="auto" w:frame="1"/>
          <w:shd w:val="clear" w:color="auto" w:fill="FFFFFF"/>
        </w:rPr>
        <w:t xml:space="preserve">Ministru kabineta 2009. gada 3. februāra noteikumu Nr. 108 "Normatīvo aktu projektu sagatavošanas noteikumi" 3.2. apakšpunkts noteic, ka </w:t>
      </w:r>
      <w:r>
        <w:rPr>
          <w:rFonts w:ascii="Calibri" w:hAnsi="Calibri" w:cstheme="minorHAnsi"/>
          <w:u w:val="single"/>
          <w:bdr w:val="none" w:sz="0" w:space="0" w:color="auto" w:frame="1"/>
          <w:shd w:val="clear" w:color="auto" w:fill="FFFFFF"/>
        </w:rPr>
        <w:t>n</w:t>
      </w:r>
      <w:r>
        <w:rPr>
          <w:rFonts w:ascii="Calibri" w:eastAsia="Times New Roman" w:hAnsi="Calibri" w:cstheme="minorHAnsi"/>
          <w:color w:val="000000"/>
          <w:u w:val="single"/>
        </w:rPr>
        <w:t>o</w:t>
      </w:r>
      <w:r>
        <w:rPr>
          <w:rFonts w:ascii="Calibri" w:hAnsi="Calibri" w:cstheme="minorHAnsi"/>
          <w:color w:val="000000"/>
          <w:u w:val="single"/>
        </w:rPr>
        <w:t>rmatīvā akta projektā neietver normas, kas dublē augstāka spēka normatīvā akta tiesību normās ietverto normatīvo regulējumu</w:t>
      </w:r>
      <w:r>
        <w:rPr>
          <w:rFonts w:ascii="Calibri" w:hAnsi="Calibri" w:cstheme="minorHAnsi"/>
          <w:color w:val="000000"/>
        </w:rPr>
        <w:t>, lūdzam svītrot projekta 5. punkta ievaddaļā, 11. punkta ievaddaļā un 18. punkta ievaddaļā vārdu "rakstisku".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 xml:space="preserve">5. vēršam uzmanību uz to, ka, piemēram, Administratīvā procesa likuma 59. pantā ir paredzēts regulējums par informācijas iegūšanu. </w:t>
      </w:r>
      <w:r>
        <w:rPr>
          <w:rFonts w:ascii="Calibri" w:hAnsi="Calibri" w:cstheme="minorHAnsi"/>
          <w:shd w:val="clear" w:color="auto" w:fill="FFFFFF"/>
        </w:rPr>
        <w:t xml:space="preserve">Ievērojot minēto, kā arī to, ka </w:t>
      </w:r>
      <w:r>
        <w:rPr>
          <w:rFonts w:ascii="Calibri" w:hAnsi="Calibri" w:cstheme="minorHAnsi"/>
          <w:bdr w:val="none" w:sz="0" w:space="0" w:color="auto" w:frame="1"/>
          <w:shd w:val="clear" w:color="auto" w:fill="FFFFFF"/>
        </w:rPr>
        <w:t xml:space="preserve">Ministru kabineta 2009. gada 3. februāra noteikumu Nr. 108 "Normatīvo aktu projektu sagatavošanas noteikumi" 3.2. apakšpunkts noteic, ka </w:t>
      </w:r>
      <w:r>
        <w:rPr>
          <w:rFonts w:ascii="Calibri" w:hAnsi="Calibri" w:cstheme="minorHAnsi"/>
          <w:u w:val="single"/>
          <w:bdr w:val="none" w:sz="0" w:space="0" w:color="auto" w:frame="1"/>
          <w:shd w:val="clear" w:color="auto" w:fill="FFFFFF"/>
        </w:rPr>
        <w:t>n</w:t>
      </w:r>
      <w:r>
        <w:rPr>
          <w:rFonts w:ascii="Calibri" w:eastAsia="Times New Roman" w:hAnsi="Calibri" w:cstheme="minorHAnsi"/>
          <w:color w:val="000000"/>
          <w:u w:val="single"/>
        </w:rPr>
        <w:t>o</w:t>
      </w:r>
      <w:r>
        <w:rPr>
          <w:rFonts w:ascii="Calibri" w:hAnsi="Calibri" w:cstheme="minorHAnsi"/>
          <w:color w:val="000000"/>
          <w:u w:val="single"/>
        </w:rPr>
        <w:t>rmatīvā akta projektā neietver normas, kas dublē augstāka spēka normatīvā akta tiesību normās ietverto normatīvo regulējumu</w:t>
      </w:r>
      <w:r>
        <w:rPr>
          <w:rFonts w:ascii="Calibri" w:hAnsi="Calibri" w:cstheme="minorHAnsi"/>
          <w:color w:val="000000"/>
        </w:rPr>
        <w:t>, lūdzam svītrot projekta 8. un 13. punktu.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6. No projekta 9. un 14. punktā paredzētā regulējuma, kā arī anotācijas I sadaļas 2. punktā ietvertās informācijas izriet, ka Valsts ieņēmumu dienests Administratīvā procesa likumā noteiktajā kārtībā veic nodokļu maksātāja iesniegumā norādītās informācijas un pievienoto dokumentu pārbaudi un apstiprina iesniegumu. Savukārt no projekta 25. punktā paredzētā regulējuma izriet, ka Valsts ieņēmumu dienests apstiprina iesniegumu.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Vēršam uzmanību uz to, ka Administratīvā procesa likums neparedz iesnieguma apstiprināšanu.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lastRenderedPageBreak/>
        <w:t>Administratīvā procesa likuma 3. panta pirmā daļa noteic, ka š</w:t>
      </w:r>
      <w:r>
        <w:rPr>
          <w:rFonts w:ascii="Calibri" w:hAnsi="Calibri" w:cstheme="minorHAnsi"/>
          <w:shd w:val="clear" w:color="auto" w:fill="FFFFFF"/>
        </w:rPr>
        <w:t>o likumu piemēro administratīvajā procesā iestādē, ciktāl citu likumu speciālajās tiesību normās nav noteikta cita kārtība. Līdz ar to, ja speciālajās tiesību normās ir nepieciešams noteikt citādāku regulējumu, nekā to paredz Administratīvā procesa likums, nepieciešams attiecīgs regulējums likumā.</w:t>
      </w:r>
      <w:r>
        <w:rPr>
          <w:rFonts w:ascii="Calibri" w:hAnsi="Calibri" w:cstheme="minorHAnsi"/>
          <w:color w:val="000000"/>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 xml:space="preserve">Papildus vēršam uzmanību uz to, ka </w:t>
      </w:r>
      <w:r>
        <w:rPr>
          <w:rFonts w:ascii="Calibri" w:hAnsi="Calibri" w:cstheme="minorHAnsi"/>
          <w:bdr w:val="none" w:sz="0" w:space="0" w:color="auto" w:frame="1"/>
          <w:shd w:val="clear" w:color="auto" w:fill="FFFFFF"/>
        </w:rPr>
        <w:t xml:space="preserve">Ministru kabineta 2009. gada 3. februāra noteikumu Nr. 108 "Normatīvo aktu projektu sagatavošanas noteikumi" 3.1. apakšpunkts noteic, ka normatīvā akta projektā neietver normas, kas ir deklaratīvas, tādēļ projekta 4. punktā minētie vārdi "Administratīvā procesa likumā noteiktajā kārtībā" ir lieki. </w:t>
      </w:r>
      <w:r>
        <w:rPr>
          <w:rFonts w:ascii="Calibri" w:hAnsi="Calibri" w:cstheme="minorHAnsi"/>
          <w:shd w:val="clear" w:color="auto" w:fill="FFFFFF"/>
        </w:rPr>
        <w:t xml:space="preserve">Ievērojot minēto, lūdzam precizēt projekta </w:t>
      </w:r>
      <w:r>
        <w:rPr>
          <w:rFonts w:ascii="Calibri" w:hAnsi="Calibri" w:cstheme="minorHAnsi"/>
          <w:color w:val="000000"/>
        </w:rPr>
        <w:t>9., 14. un 25. punktā paredzēto regulējumu, kā arī anotācijas I sadaļas 2. punktā ietverto informāciju</w:t>
      </w:r>
      <w:r>
        <w:rPr>
          <w:rFonts w:ascii="Calibri" w:hAnsi="Calibri" w:cstheme="minorHAnsi"/>
          <w:shd w:val="clear" w:color="auto" w:fill="FFFFFF"/>
        </w:rPr>
        <w:t>.</w:t>
      </w:r>
      <w:r>
        <w:rPr>
          <w:rFonts w:ascii="Calibri" w:hAnsi="Calibri" w:cstheme="minorHAnsi"/>
          <w:color w:val="000000"/>
          <w:shd w:val="clear" w:color="auto" w:fill="FFFFFF"/>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7.</w:t>
      </w:r>
      <w:r>
        <w:rPr>
          <w:rFonts w:ascii="Calibri" w:hAnsi="Calibri" w:cstheme="minorHAnsi"/>
          <w:color w:val="000000"/>
        </w:rPr>
        <w:t> </w:t>
      </w:r>
      <w:r>
        <w:rPr>
          <w:rFonts w:ascii="Calibri" w:hAnsi="Calibri" w:cstheme="minorHAnsi"/>
          <w:color w:val="000000"/>
          <w:bdr w:val="none" w:sz="0" w:space="0" w:color="auto" w:frame="1"/>
        </w:rPr>
        <w:t>Nepieciešams izvērtēt un projekta 10.1. un 10.3. apakšpunktā, kā arī 15. punktā izdarīt konkrētas atsauces uz Eiropas Komisijas 1992. gada 17. decembra Regulas Nr.3649/92 par vienkāršotajiem pavaddokumentiem, Kopienas iekšienē pārvadājot akcīzes ražojumus, kas nodoti patēriņam nosūtītājā dalībvalstī (turpmāk – regula Nr. 3649/92), un 1956. gada 19. maija Konvencijas par kravas starptautisko autopārvadājumu līgumu (CMR) un šīs konvencijas 1978. gada 5. jūlija protokola vienībām (salāgojot konkrētās atsauces arī ar anotācijas V sadaļas 1. tabulu un nepieciešamības gadījumā papildinot minēto tabulu), tādējādi atvieglojot projekta piemērošanu praksē.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bdr w:val="none" w:sz="0" w:space="0" w:color="auto" w:frame="1"/>
        </w:rPr>
        <w:t xml:space="preserve">8. Vēršam uzmanību uz to, ka regulas Nr. 3649/92 1. pants cita starpā paredz, ja akcīzes ražojumus, kas jau ir nodoti patēriņam kādā dalībvalstī, </w:t>
      </w:r>
      <w:r>
        <w:rPr>
          <w:rFonts w:ascii="Calibri" w:hAnsi="Calibri" w:cstheme="minorHAnsi"/>
          <w:color w:val="000000"/>
          <w:u w:val="single"/>
          <w:bdr w:val="none" w:sz="0" w:space="0" w:color="auto" w:frame="1"/>
        </w:rPr>
        <w:t>ir paredzēts citā dalībvalstī izmantot mērķiem, kas minēti Direktīvas 92/12/EEK 7. pantā</w:t>
      </w:r>
      <w:r>
        <w:rPr>
          <w:rFonts w:ascii="Calibri" w:hAnsi="Calibri" w:cstheme="minorHAnsi"/>
          <w:color w:val="000000"/>
          <w:bdr w:val="none" w:sz="0" w:space="0" w:color="auto" w:frame="1"/>
        </w:rPr>
        <w:t xml:space="preserve">, tad personai, kas atbild par Kopienas iekšējiem pārvadājumiem, ir jāsastāda vienkāršots pavaddokuments. Saistībā ar minēto, ņemot vērā, ka minētajā regulas normā ietverta atsauce uz direktīvu, projekta 10.1. apakšpunktā un 15. punktā nepieciešams norādīt uz konkrētām nacionālo tiesību aktu normām (likuma), ar kurām ir pārņemtas Padomes 2008. gada 16. decembra direktīvas </w:t>
      </w:r>
      <w:hyperlink r:id="rId6" w:tgtFrame="_blank" w:history="1">
        <w:r>
          <w:rPr>
            <w:rStyle w:val="Hyperlink"/>
            <w:rFonts w:ascii="Calibri" w:hAnsi="Calibri" w:cstheme="minorHAnsi"/>
            <w:bdr w:val="none" w:sz="0" w:space="0" w:color="auto" w:frame="1"/>
          </w:rPr>
          <w:t>2008/118/EK</w:t>
        </w:r>
      </w:hyperlink>
      <w:r>
        <w:rPr>
          <w:rFonts w:ascii="Calibri" w:hAnsi="Calibri" w:cstheme="minorHAnsi"/>
          <w:color w:val="000000"/>
          <w:bdr w:val="none" w:sz="0" w:space="0" w:color="auto" w:frame="1"/>
        </w:rPr>
        <w:t xml:space="preserve"> par akcīzes nodokļa piemērošanas vispārēju režīmu, ar ko atceļ direktīvu </w:t>
      </w:r>
      <w:hyperlink r:id="rId7" w:tgtFrame="_blank" w:history="1">
        <w:r>
          <w:rPr>
            <w:rStyle w:val="Hyperlink"/>
            <w:rFonts w:ascii="Calibri" w:hAnsi="Calibri" w:cstheme="minorHAnsi"/>
            <w:bdr w:val="none" w:sz="0" w:space="0" w:color="auto" w:frame="1"/>
          </w:rPr>
          <w:t>92/12/EEK</w:t>
        </w:r>
      </w:hyperlink>
      <w:r>
        <w:rPr>
          <w:rFonts w:ascii="Calibri" w:hAnsi="Calibri" w:cstheme="minorHAnsi"/>
          <w:color w:val="000000"/>
          <w:bdr w:val="none" w:sz="0" w:space="0" w:color="auto" w:frame="1"/>
        </w:rPr>
        <w:t>, prasības, šo atsauci noformējot atbilstoši Ministru kabineta 2009. gada 3. februāra noteikumu Nr. 108 "Normatīvo aktu projektu sagatavošanas noteikumu" 3.7. apakšnodaļai.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9. </w:t>
      </w:r>
      <w:r>
        <w:rPr>
          <w:rFonts w:ascii="Calibri" w:hAnsi="Calibri" w:cstheme="minorHAnsi"/>
          <w:bdr w:val="none" w:sz="0" w:space="0" w:color="auto" w:frame="1"/>
          <w:shd w:val="clear" w:color="auto" w:fill="FFFFFF"/>
        </w:rPr>
        <w:t xml:space="preserve">Ministru kabineta 2009. gada 3. februāra noteikumu Nr. 108 "Normatīvo aktu projektu sagatavošanas noteikumi" 3.2. apakšpunkts noteic, ka </w:t>
      </w:r>
      <w:r>
        <w:rPr>
          <w:rFonts w:ascii="Calibri" w:hAnsi="Calibri" w:cstheme="minorHAnsi"/>
          <w:u w:val="single"/>
          <w:bdr w:val="none" w:sz="0" w:space="0" w:color="auto" w:frame="1"/>
          <w:shd w:val="clear" w:color="auto" w:fill="FFFFFF"/>
        </w:rPr>
        <w:t>n</w:t>
      </w:r>
      <w:r>
        <w:rPr>
          <w:rFonts w:ascii="Calibri" w:eastAsia="Times New Roman" w:hAnsi="Calibri" w:cstheme="minorHAnsi"/>
          <w:color w:val="000000"/>
          <w:u w:val="single"/>
        </w:rPr>
        <w:t>o</w:t>
      </w:r>
      <w:r>
        <w:rPr>
          <w:rFonts w:ascii="Calibri" w:hAnsi="Calibri" w:cstheme="minorHAnsi"/>
          <w:color w:val="000000"/>
          <w:u w:val="single"/>
        </w:rPr>
        <w:t>rmatīvā akta projektā neietver normas, kas dublē augstāka spēka normatīvā akta tiesību normās ietverto normatīvo regulējumu</w:t>
      </w:r>
      <w:r>
        <w:rPr>
          <w:rFonts w:ascii="Calibri" w:hAnsi="Calibri" w:cstheme="minorHAnsi"/>
          <w:color w:val="000000"/>
        </w:rPr>
        <w:t xml:space="preserve">. Ievērojot minēto, kā arī to, ka no likumprojektā paredzētajā likuma </w:t>
      </w:r>
      <w:r>
        <w:rPr>
          <w:rFonts w:ascii="Calibri" w:eastAsia="Times New Roman" w:hAnsi="Calibri" w:cstheme="minorHAnsi"/>
          <w:color w:val="000000"/>
        </w:rPr>
        <w:t>27. panta 7.</w:t>
      </w:r>
      <w:r>
        <w:rPr>
          <w:rFonts w:ascii="Calibri" w:eastAsia="Times New Roman" w:hAnsi="Calibri" w:cstheme="minorHAnsi"/>
          <w:color w:val="000000"/>
          <w:vertAlign w:val="superscript"/>
        </w:rPr>
        <w:t>1</w:t>
      </w:r>
      <w:r>
        <w:rPr>
          <w:rFonts w:ascii="Calibri" w:eastAsia="Times New Roman" w:hAnsi="Calibri" w:cstheme="minorHAnsi"/>
          <w:color w:val="000000"/>
        </w:rPr>
        <w:t>, 8.</w:t>
      </w:r>
      <w:r>
        <w:rPr>
          <w:rFonts w:ascii="Calibri" w:eastAsia="Times New Roman" w:hAnsi="Calibri" w:cstheme="minorHAnsi"/>
          <w:color w:val="000000"/>
          <w:vertAlign w:val="superscript"/>
        </w:rPr>
        <w:t>1</w:t>
      </w:r>
      <w:r>
        <w:rPr>
          <w:rFonts w:ascii="Calibri" w:eastAsia="Times New Roman" w:hAnsi="Calibri" w:cstheme="minorHAnsi"/>
          <w:color w:val="000000"/>
        </w:rPr>
        <w:t>, vienpadsmitajā, divpadsmitajā un 12.</w:t>
      </w:r>
      <w:r>
        <w:rPr>
          <w:rFonts w:ascii="Calibri" w:eastAsia="Times New Roman" w:hAnsi="Calibri" w:cstheme="minorHAnsi"/>
          <w:color w:val="000000"/>
          <w:vertAlign w:val="superscript"/>
        </w:rPr>
        <w:t>1</w:t>
      </w:r>
      <w:r>
        <w:rPr>
          <w:rFonts w:ascii="Calibri" w:eastAsia="Times New Roman" w:hAnsi="Calibri" w:cstheme="minorHAnsi"/>
          <w:color w:val="000000"/>
        </w:rPr>
        <w:t> daļā ietvertā regulējuma izriet, ka akcīzes nodokļa markas var iznīcināt kopā ar akcīzes precēm (nenoņemot akcīzes nodokļa markas no akcīzes preču iepakojuma), kā arī nodokļa markas Valsts ieņēmumu dienestā atdod nodokļa maksātājs, lūdzam izvērtēt projekta 16. punktā paredzēto regulējumu un attiecīgi precizēt to vai papildināt anotāciju ar atbilstošu skaidrojumu.</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shd w:val="clear" w:color="auto" w:fill="FFFFFF"/>
        </w:rPr>
        <w:t>10. V</w:t>
      </w:r>
      <w:r>
        <w:rPr>
          <w:rFonts w:ascii="Calibri" w:hAnsi="Calibri" w:cstheme="minorHAnsi"/>
          <w:color w:val="000000"/>
        </w:rPr>
        <w:t xml:space="preserve">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 Elektronisko dokumentu uzskata par </w:t>
      </w:r>
      <w:r>
        <w:rPr>
          <w:rFonts w:ascii="Calibri" w:hAnsi="Calibri" w:cstheme="minorHAnsi"/>
          <w:color w:val="000000"/>
        </w:rPr>
        <w:lastRenderedPageBreak/>
        <w:t xml:space="preserve">pašrocīgi parakstītu arī tajos gadījumos, kad tam ir elektroniskais paraksts un puses par elektroniskā dokumenta parakstīšanu ar elektronisko parakstu ir vienojušās </w:t>
      </w:r>
      <w:proofErr w:type="spellStart"/>
      <w:r>
        <w:rPr>
          <w:rFonts w:ascii="Calibri" w:hAnsi="Calibri" w:cstheme="minorHAnsi"/>
          <w:color w:val="000000"/>
        </w:rPr>
        <w:t>rakstveidā</w:t>
      </w:r>
      <w:proofErr w:type="spellEnd"/>
      <w:r>
        <w:rPr>
          <w:rFonts w:ascii="Calibri" w:hAnsi="Calibri" w:cstheme="minorHAnsi"/>
          <w:color w:val="000000"/>
        </w:rPr>
        <w:t>. Ievērojot minēto, lūdzam aizstāt projekta 22. punktā vārdu "rakstiski" ar vārdu "</w:t>
      </w:r>
      <w:proofErr w:type="spellStart"/>
      <w:r>
        <w:rPr>
          <w:rFonts w:ascii="Calibri" w:hAnsi="Calibri" w:cstheme="minorHAnsi"/>
          <w:color w:val="000000"/>
        </w:rPr>
        <w:t>rakstveidā</w:t>
      </w:r>
      <w:proofErr w:type="spellEnd"/>
      <w:r>
        <w:rPr>
          <w:rFonts w:ascii="Calibri" w:hAnsi="Calibri" w:cstheme="minorHAnsi"/>
          <w:color w:val="000000"/>
        </w:rPr>
        <w:t>".</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11. Vēršam uzmanību uz to, ka projekta 24. punkta ievaddaļā paredzētais regulējums ir neskaidrs, proti, no tajā minēta izriet, ka papildus projekta 18. punktā minētajam iesniegumam ir jāiesniedz vēl viens iesniegums. Ievērojot minēto, lūdzam izvērtēt projekta 24. punkta ievaddaļā paredzēto regulējumu un precizēt to vai papildināt anotāciju ar atbilstošu skaidrojumu.</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12. </w:t>
      </w:r>
      <w:r>
        <w:rPr>
          <w:rFonts w:ascii="Calibri" w:hAnsi="Calibri" w:cstheme="minorHAnsi"/>
          <w:color w:val="000000"/>
          <w:bdr w:val="none" w:sz="0" w:space="0" w:color="auto" w:frame="1"/>
        </w:rPr>
        <w:t>Informāciju par 1956. gada 19. maija Konvencijas par kravas starptautisko autopārvadājumu līgumu (CMR) un šīs konvencijas 1978. gada 5. jūlija protokola izpildi, uz ko norādīts projekta 10.3. apakšpunktā un anotācijas V sadaļas 1. punktā un 1. tabulā, nepieciešams pārcelt un izvērstāk atspoguļot anotācijas V sadaļas 2. punktā un 2. tabulā atbilstoši Ministru kabineta 2009. gada 15. decembra instrukcijas Nr. 19 "Tiesību akta projekta sākotnējās ietekmes izvērtēšanas kārtība" 57. un 58. punktam, tai skaitā norādot arī attiecīgajos starptautiskajos dokumentos ietverto saistību būtību un konkrēti veicamos pasākumus vai uzdevumus, kas nepieciešami attiecīgo saistību izpildei vai alternatīvi precizēt anotācijas V sadaļā ietverto informāciju.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Vienlaikus izsakām šādus priekšlikumus:</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1. Ievērojot, ka likumprojekts "Grozījumi likumā "Par akcīzes nodokli"" (</w:t>
      </w:r>
      <w:proofErr w:type="spellStart"/>
      <w:r>
        <w:rPr>
          <w:rFonts w:ascii="Calibri" w:hAnsi="Calibri" w:cstheme="minorHAnsi"/>
          <w:color w:val="000000"/>
        </w:rPr>
        <w:t>Reģ</w:t>
      </w:r>
      <w:proofErr w:type="spellEnd"/>
      <w:r>
        <w:rPr>
          <w:rFonts w:ascii="Calibri" w:hAnsi="Calibri" w:cstheme="minorHAnsi"/>
          <w:color w:val="000000"/>
        </w:rPr>
        <w:t>. Nr. 1058/LP13) ir pieņemts Saeimā trešajā lasījumā 2021. gada 21. oktobrī, lūdzam precizēt anotācijas I sadaļas 1. un 2. punktā ietverto informāciju.</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 xml:space="preserve">Vienlaikus vēršam uzmanību uz to, ka nepieciešams </w:t>
      </w:r>
      <w:r>
        <w:rPr>
          <w:rFonts w:ascii="Calibri" w:hAnsi="Calibri" w:cstheme="minorHAnsi"/>
          <w:shd w:val="clear" w:color="auto" w:fill="FFFFFF"/>
        </w:rPr>
        <w:t>precizēt anotācijas I sadaļas 2. punktā vārdus "</w:t>
      </w:r>
      <w:r>
        <w:rPr>
          <w:rFonts w:ascii="Calibri" w:hAnsi="Calibri" w:cstheme="minorHAnsi"/>
          <w:u w:val="single"/>
          <w:shd w:val="clear" w:color="auto" w:fill="FFFFFF"/>
        </w:rPr>
        <w:t>Saeimas budžeta un finanšu (nodokļu) komisijā š.g. 12. oktobrī 3. lasījumā apstiprināto likumprojektu</w:t>
      </w:r>
      <w:r>
        <w:rPr>
          <w:rFonts w:ascii="Calibri" w:hAnsi="Calibri" w:cstheme="minorHAnsi"/>
          <w:shd w:val="clear" w:color="auto" w:fill="FFFFFF"/>
        </w:rPr>
        <w:t>", jo tie ir neskaidri, proti, Saeima pieņem likumus, nevis Saeimas komisijas apstiprina likumus.</w:t>
      </w:r>
      <w:r>
        <w:rPr>
          <w:rFonts w:ascii="Calibri" w:hAnsi="Calibri" w:cstheme="minorHAnsi"/>
          <w:color w:val="000000"/>
          <w:bdr w:val="none" w:sz="0" w:space="0" w:color="auto" w:frame="1"/>
        </w:rPr>
        <w:t> </w:t>
      </w:r>
    </w:p>
    <w:p w:rsidR="00402F88" w:rsidRDefault="00402F88" w:rsidP="00402F88">
      <w:pPr>
        <w:pStyle w:val="NoSpacing"/>
        <w:ind w:firstLine="720"/>
        <w:jc w:val="both"/>
        <w:rPr>
          <w:rFonts w:ascii="Calibri" w:hAnsi="Calibri" w:cs="Calibri"/>
          <w:color w:val="000000"/>
          <w:sz w:val="22"/>
          <w:szCs w:val="22"/>
        </w:rPr>
      </w:pPr>
      <w:r>
        <w:rPr>
          <w:rFonts w:ascii="Calibri" w:hAnsi="Calibri" w:cstheme="minorHAnsi"/>
          <w:color w:val="000000"/>
        </w:rPr>
        <w:t>2. Lūdzam precizēt anotācijas I sadaļas 2. punktā ietverto informāciju, norādot tajā minēto normatīvo aktu vienības, kurās paredzēts attiecīgais regulējums.</w:t>
      </w:r>
      <w:r>
        <w:rPr>
          <w:rFonts w:ascii="Calibri" w:hAnsi="Calibri" w:cstheme="minorHAnsi"/>
          <w:color w:val="000000"/>
          <w:bdr w:val="none" w:sz="0" w:space="0" w:color="auto" w:frame="1"/>
        </w:rPr>
        <w:t> </w:t>
      </w:r>
    </w:p>
    <w:p w:rsidR="00402F88" w:rsidRPr="00402F88" w:rsidRDefault="00402F88" w:rsidP="00402F88">
      <w:pPr>
        <w:pStyle w:val="NormalWeb"/>
        <w:ind w:right="13"/>
        <w:jc w:val="both"/>
        <w:rPr>
          <w:color w:val="000000"/>
          <w:lang w:val="lv-LV"/>
        </w:rPr>
      </w:pPr>
    </w:p>
    <w:p w:rsidR="00402F88" w:rsidRDefault="00402F88" w:rsidP="00402F88">
      <w:pPr>
        <w:pStyle w:val="NormalWeb"/>
        <w:jc w:val="both"/>
        <w:rPr>
          <w:rFonts w:ascii="Arial" w:hAnsi="Arial" w:cs="Arial"/>
          <w:color w:val="000000"/>
          <w:sz w:val="20"/>
          <w:szCs w:val="20"/>
        </w:rPr>
      </w:pPr>
    </w:p>
    <w:p w:rsidR="00402F88" w:rsidRDefault="00402F88" w:rsidP="00402F88">
      <w:pPr>
        <w:pStyle w:val="NormalWeb"/>
        <w:jc w:val="both"/>
        <w:rPr>
          <w:rFonts w:ascii="Arial" w:hAnsi="Arial" w:cs="Arial"/>
          <w:color w:val="000000"/>
          <w:sz w:val="20"/>
          <w:szCs w:val="20"/>
        </w:rPr>
      </w:pPr>
    </w:p>
    <w:p w:rsidR="00402F88" w:rsidRDefault="00402F88" w:rsidP="00402F88">
      <w:pPr>
        <w:pStyle w:val="NormalWeb"/>
        <w:jc w:val="both"/>
        <w:rPr>
          <w:rFonts w:ascii="Arial" w:hAnsi="Arial" w:cs="Arial"/>
          <w:color w:val="000000"/>
          <w:sz w:val="20"/>
          <w:szCs w:val="20"/>
        </w:rPr>
      </w:pPr>
    </w:p>
    <w:p w:rsidR="00402F88" w:rsidRDefault="00402F88" w:rsidP="00402F88">
      <w:pPr>
        <w:pStyle w:val="NormalWeb"/>
        <w:jc w:val="both"/>
        <w:rPr>
          <w:rFonts w:ascii="Calibri" w:hAnsi="Calibri" w:cs="Calibri"/>
          <w:color w:val="000000"/>
          <w:sz w:val="22"/>
          <w:szCs w:val="22"/>
        </w:rPr>
      </w:pPr>
      <w:bookmarkStart w:id="0" w:name="_GoBack"/>
      <w:bookmarkEnd w:id="0"/>
      <w:proofErr w:type="spellStart"/>
      <w:r>
        <w:rPr>
          <w:rFonts w:ascii="Arial" w:hAnsi="Arial" w:cs="Arial"/>
          <w:color w:val="000000"/>
          <w:sz w:val="20"/>
          <w:szCs w:val="20"/>
        </w:rPr>
        <w:t>Ar</w:t>
      </w:r>
      <w:proofErr w:type="spellEnd"/>
      <w:r>
        <w:rPr>
          <w:rFonts w:ascii="Arial" w:hAnsi="Arial" w:cs="Arial"/>
          <w:color w:val="000000"/>
          <w:sz w:val="20"/>
          <w:szCs w:val="20"/>
        </w:rPr>
        <w:t xml:space="preserve"> </w:t>
      </w:r>
      <w:proofErr w:type="spellStart"/>
      <w:r>
        <w:rPr>
          <w:rFonts w:ascii="Arial" w:hAnsi="Arial" w:cs="Arial"/>
          <w:color w:val="000000"/>
          <w:sz w:val="20"/>
          <w:szCs w:val="20"/>
        </w:rPr>
        <w:t>cieņu</w:t>
      </w:r>
      <w:proofErr w:type="spellEnd"/>
    </w:p>
    <w:p w:rsidR="00402F88" w:rsidRDefault="00402F88" w:rsidP="00402F88">
      <w:pPr>
        <w:pStyle w:val="NormalWeb"/>
        <w:shd w:val="clear" w:color="auto" w:fill="FFFFFF"/>
        <w:jc w:val="both"/>
        <w:rPr>
          <w:rFonts w:ascii="Calibri" w:hAnsi="Calibri" w:cs="Calibri"/>
          <w:color w:val="000000"/>
          <w:sz w:val="22"/>
          <w:szCs w:val="22"/>
        </w:rPr>
      </w:pPr>
      <w:r>
        <w:rPr>
          <w:rFonts w:ascii="Arial" w:hAnsi="Arial" w:cs="Arial"/>
          <w:b/>
          <w:bCs/>
          <w:color w:val="201F1E"/>
          <w:sz w:val="20"/>
          <w:szCs w:val="20"/>
          <w:bdr w:val="none" w:sz="0" w:space="0" w:color="auto" w:frame="1"/>
        </w:rPr>
        <w:t xml:space="preserve">Ilze </w:t>
      </w:r>
      <w:proofErr w:type="spellStart"/>
      <w:r>
        <w:rPr>
          <w:rFonts w:ascii="Arial" w:hAnsi="Arial" w:cs="Arial"/>
          <w:b/>
          <w:bCs/>
          <w:color w:val="201F1E"/>
          <w:sz w:val="20"/>
          <w:szCs w:val="20"/>
          <w:bdr w:val="none" w:sz="0" w:space="0" w:color="auto" w:frame="1"/>
        </w:rPr>
        <w:t>Māliņa</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Tieslietu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ministrijas</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Valststiesību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departamenta</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Administratīvo</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nodaļas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juriste</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proofErr w:type="gramStart"/>
      <w:r>
        <w:rPr>
          <w:rFonts w:ascii="Arial" w:hAnsi="Arial" w:cs="Arial"/>
          <w:color w:val="201F1E"/>
          <w:sz w:val="20"/>
          <w:szCs w:val="20"/>
          <w:bdr w:val="none" w:sz="0" w:space="0" w:color="auto" w:frame="1"/>
        </w:rPr>
        <w:t>tālr</w:t>
      </w:r>
      <w:proofErr w:type="spellEnd"/>
      <w:proofErr w:type="gramEnd"/>
      <w:r>
        <w:rPr>
          <w:rFonts w:ascii="Arial" w:hAnsi="Arial" w:cs="Arial"/>
          <w:color w:val="201F1E"/>
          <w:sz w:val="20"/>
          <w:szCs w:val="20"/>
          <w:bdr w:val="none" w:sz="0" w:space="0" w:color="auto" w:frame="1"/>
        </w:rPr>
        <w:t>. 67036910</w:t>
      </w:r>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Juridiskā</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adrese</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Brīvības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36,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LV-1536</w:t>
      </w:r>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Atrašanās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vieta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Raiņa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15,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LV-1050</w:t>
      </w:r>
    </w:p>
    <w:p w:rsidR="00402F88" w:rsidRDefault="00402F88" w:rsidP="00402F88">
      <w:pPr>
        <w:jc w:val="both"/>
        <w:rPr>
          <w:rFonts w:ascii="Calibri" w:eastAsia="Times New Roman" w:hAnsi="Calibri" w:cs="Calibri"/>
          <w:color w:val="000000"/>
          <w:sz w:val="24"/>
          <w:szCs w:val="24"/>
        </w:rPr>
      </w:pPr>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b/>
          <w:bCs/>
          <w:color w:val="201F1E"/>
          <w:sz w:val="20"/>
          <w:szCs w:val="20"/>
          <w:bdr w:val="none" w:sz="0" w:space="0" w:color="auto" w:frame="1"/>
        </w:rPr>
        <w:t>Viesturs</w:t>
      </w:r>
      <w:proofErr w:type="spellEnd"/>
      <w:r>
        <w:rPr>
          <w:rFonts w:ascii="Arial" w:hAnsi="Arial" w:cs="Arial"/>
          <w:b/>
          <w:bCs/>
          <w:color w:val="201F1E"/>
          <w:sz w:val="20"/>
          <w:szCs w:val="20"/>
          <w:bdr w:val="none" w:sz="0" w:space="0" w:color="auto" w:frame="1"/>
        </w:rPr>
        <w:t xml:space="preserve"> </w:t>
      </w:r>
      <w:proofErr w:type="spellStart"/>
      <w:r>
        <w:rPr>
          <w:rFonts w:ascii="Arial" w:hAnsi="Arial" w:cs="Arial"/>
          <w:b/>
          <w:bCs/>
          <w:color w:val="201F1E"/>
          <w:sz w:val="20"/>
          <w:szCs w:val="20"/>
          <w:bdr w:val="none" w:sz="0" w:space="0" w:color="auto" w:frame="1"/>
        </w:rPr>
        <w:t>Blūmentāls</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Tieslietu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ministrijas</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Valststiesību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departamenta</w:t>
      </w:r>
      <w:proofErr w:type="spellEnd"/>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Starptautisko</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publisko</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nodaļas</w:t>
      </w:r>
      <w:proofErr w:type="spellEnd"/>
      <w:r>
        <w:rPr>
          <w:rFonts w:ascii="Arial" w:hAnsi="Arial" w:cs="Arial"/>
          <w:color w:val="201F1E"/>
          <w:sz w:val="20"/>
          <w:szCs w:val="20"/>
          <w:bdr w:val="none" w:sz="0" w:space="0" w:color="auto" w:frame="1"/>
        </w:rPr>
        <w:t xml:space="preserve"> jurists</w:t>
      </w:r>
    </w:p>
    <w:p w:rsidR="00402F88" w:rsidRDefault="00402F88" w:rsidP="00402F88">
      <w:pPr>
        <w:pStyle w:val="NormalWeb"/>
        <w:shd w:val="clear" w:color="auto" w:fill="FFFFFF"/>
        <w:jc w:val="both"/>
        <w:rPr>
          <w:rFonts w:ascii="Calibri" w:hAnsi="Calibri" w:cs="Calibri"/>
          <w:color w:val="000000"/>
          <w:sz w:val="22"/>
          <w:szCs w:val="22"/>
        </w:rPr>
      </w:pPr>
      <w:proofErr w:type="spellStart"/>
      <w:proofErr w:type="gramStart"/>
      <w:r>
        <w:rPr>
          <w:rFonts w:ascii="Arial" w:hAnsi="Arial" w:cs="Arial"/>
          <w:color w:val="201F1E"/>
          <w:sz w:val="20"/>
          <w:szCs w:val="20"/>
          <w:bdr w:val="none" w:sz="0" w:space="0" w:color="auto" w:frame="1"/>
        </w:rPr>
        <w:t>tālr</w:t>
      </w:r>
      <w:proofErr w:type="spellEnd"/>
      <w:proofErr w:type="gramEnd"/>
      <w:r>
        <w:rPr>
          <w:rFonts w:ascii="Arial" w:hAnsi="Arial" w:cs="Arial"/>
          <w:color w:val="201F1E"/>
          <w:sz w:val="20"/>
          <w:szCs w:val="20"/>
          <w:bdr w:val="none" w:sz="0" w:space="0" w:color="auto" w:frame="1"/>
        </w:rPr>
        <w:t>. 67036927</w:t>
      </w:r>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Juridiskā</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adrese</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Brīvības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36,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LV-1536</w:t>
      </w:r>
    </w:p>
    <w:p w:rsidR="00402F88" w:rsidRDefault="00402F88" w:rsidP="00402F88">
      <w:pPr>
        <w:pStyle w:val="NormalWeb"/>
        <w:shd w:val="clear" w:color="auto" w:fill="FFFFFF"/>
        <w:jc w:val="both"/>
        <w:rPr>
          <w:rFonts w:ascii="Calibri" w:hAnsi="Calibri" w:cs="Calibri"/>
          <w:color w:val="000000"/>
          <w:sz w:val="22"/>
          <w:szCs w:val="22"/>
        </w:rPr>
      </w:pPr>
      <w:proofErr w:type="spellStart"/>
      <w:r>
        <w:rPr>
          <w:rFonts w:ascii="Arial" w:hAnsi="Arial" w:cs="Arial"/>
          <w:color w:val="201F1E"/>
          <w:sz w:val="20"/>
          <w:szCs w:val="20"/>
          <w:bdr w:val="none" w:sz="0" w:space="0" w:color="auto" w:frame="1"/>
        </w:rPr>
        <w:t>Atrašanās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vieta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Raiņa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15,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LV-1050</w:t>
      </w:r>
    </w:p>
    <w:p w:rsidR="00886A9C" w:rsidRPr="00402F88" w:rsidRDefault="00886A9C" w:rsidP="00402F88">
      <w:pPr>
        <w:rPr>
          <w:lang w:val="en-US"/>
        </w:rPr>
      </w:pPr>
    </w:p>
    <w:sectPr w:rsidR="00886A9C" w:rsidRPr="00402F88">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612" w:rsidRDefault="00581612" w:rsidP="00336B2B">
      <w:r>
        <w:separator/>
      </w:r>
    </w:p>
  </w:endnote>
  <w:endnote w:type="continuationSeparator" w:id="0">
    <w:p w:rsidR="00581612" w:rsidRDefault="00581612"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9D7046">
    <w:pPr>
      <w:pStyle w:val="Footer"/>
    </w:pPr>
    <w:fldSimple w:instr=" FILENAME   \* MERGEFORMAT ">
      <w:r w:rsidR="00402F88">
        <w:t>TM</w:t>
      </w:r>
      <w:r w:rsidR="00402F88">
        <w:rPr>
          <w:noProof/>
        </w:rPr>
        <w:t>Atz_2610</w:t>
      </w:r>
      <w:r w:rsidR="007F3DD1">
        <w:rPr>
          <w:noProof/>
        </w:rPr>
        <w:t>21_VSS-</w:t>
      </w:r>
      <w:r w:rsidR="00C821BA">
        <w:rPr>
          <w:noProof/>
        </w:rPr>
        <w:t>757</w:t>
      </w:r>
      <w:r w:rsidR="00336B2B">
        <w:rPr>
          <w:noProof/>
        </w:rPr>
        <w:t>.docx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612" w:rsidRDefault="00581612" w:rsidP="00336B2B">
      <w:r>
        <w:separator/>
      </w:r>
    </w:p>
  </w:footnote>
  <w:footnote w:type="continuationSeparator" w:id="0">
    <w:p w:rsidR="00581612" w:rsidRDefault="00581612"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702BE"/>
    <w:rsid w:val="000B1C77"/>
    <w:rsid w:val="00123378"/>
    <w:rsid w:val="00151E7B"/>
    <w:rsid w:val="001A3086"/>
    <w:rsid w:val="001A72BB"/>
    <w:rsid w:val="00233200"/>
    <w:rsid w:val="002C5620"/>
    <w:rsid w:val="003250B2"/>
    <w:rsid w:val="00336B2B"/>
    <w:rsid w:val="003467A4"/>
    <w:rsid w:val="003D15E1"/>
    <w:rsid w:val="003D6772"/>
    <w:rsid w:val="003F17AE"/>
    <w:rsid w:val="00402F88"/>
    <w:rsid w:val="00412933"/>
    <w:rsid w:val="004456CA"/>
    <w:rsid w:val="004464E0"/>
    <w:rsid w:val="00487E66"/>
    <w:rsid w:val="004A326E"/>
    <w:rsid w:val="004D44A0"/>
    <w:rsid w:val="004F6173"/>
    <w:rsid w:val="00581612"/>
    <w:rsid w:val="005A3BF0"/>
    <w:rsid w:val="005D77D3"/>
    <w:rsid w:val="00632525"/>
    <w:rsid w:val="006836B1"/>
    <w:rsid w:val="006C24B2"/>
    <w:rsid w:val="00710610"/>
    <w:rsid w:val="007F3DD1"/>
    <w:rsid w:val="00811D58"/>
    <w:rsid w:val="00847736"/>
    <w:rsid w:val="00886A9C"/>
    <w:rsid w:val="008D1A10"/>
    <w:rsid w:val="008D75CC"/>
    <w:rsid w:val="008E5253"/>
    <w:rsid w:val="009319C6"/>
    <w:rsid w:val="009702F0"/>
    <w:rsid w:val="009D7046"/>
    <w:rsid w:val="00A470CE"/>
    <w:rsid w:val="00A629E4"/>
    <w:rsid w:val="00B45B0C"/>
    <w:rsid w:val="00BE4222"/>
    <w:rsid w:val="00C821BA"/>
    <w:rsid w:val="00DB3057"/>
    <w:rsid w:val="00DB65B8"/>
    <w:rsid w:val="00EC5B17"/>
    <w:rsid w:val="00F63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7B3F"/>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 w:type="paragraph" w:customStyle="1" w:styleId="Normal1">
    <w:name w:val="Normal1"/>
    <w:basedOn w:val="Normal"/>
    <w:rsid w:val="00710610"/>
    <w:pPr>
      <w:spacing w:before="100" w:beforeAutospacing="1" w:after="100" w:afterAutospacing="1"/>
    </w:pPr>
    <w:rPr>
      <w:rFonts w:ascii="Calibri" w:hAnsi="Calibri" w:cs="Calibri"/>
      <w:lang w:eastAsia="lv-LV"/>
    </w:rPr>
  </w:style>
  <w:style w:type="paragraph" w:styleId="NoSpacing">
    <w:name w:val="No Spacing"/>
    <w:basedOn w:val="Normal"/>
    <w:uiPriority w:val="1"/>
    <w:qFormat/>
    <w:rsid w:val="00402F88"/>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313530944">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63776117">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45630296">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935941364">
      <w:bodyDiv w:val="1"/>
      <w:marLeft w:val="0"/>
      <w:marRight w:val="0"/>
      <w:marTop w:val="0"/>
      <w:marBottom w:val="0"/>
      <w:divBdr>
        <w:top w:val="none" w:sz="0" w:space="0" w:color="auto"/>
        <w:left w:val="none" w:sz="0" w:space="0" w:color="auto"/>
        <w:bottom w:val="none" w:sz="0" w:space="0" w:color="auto"/>
        <w:right w:val="none" w:sz="0" w:space="0" w:color="auto"/>
      </w:divBdr>
    </w:div>
    <w:div w:id="1008563824">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687709556">
      <w:bodyDiv w:val="1"/>
      <w:marLeft w:val="0"/>
      <w:marRight w:val="0"/>
      <w:marTop w:val="0"/>
      <w:marBottom w:val="0"/>
      <w:divBdr>
        <w:top w:val="none" w:sz="0" w:space="0" w:color="auto"/>
        <w:left w:val="none" w:sz="0" w:space="0" w:color="auto"/>
        <w:bottom w:val="none" w:sz="0" w:space="0" w:color="auto"/>
        <w:right w:val="none" w:sz="0" w:space="0" w:color="auto"/>
      </w:divBdr>
    </w:div>
    <w:div w:id="1722052707">
      <w:bodyDiv w:val="1"/>
      <w:marLeft w:val="0"/>
      <w:marRight w:val="0"/>
      <w:marTop w:val="0"/>
      <w:marBottom w:val="0"/>
      <w:divBdr>
        <w:top w:val="none" w:sz="0" w:space="0" w:color="auto"/>
        <w:left w:val="none" w:sz="0" w:space="0" w:color="auto"/>
        <w:bottom w:val="none" w:sz="0" w:space="0" w:color="auto"/>
        <w:right w:val="none" w:sz="0" w:space="0" w:color="auto"/>
      </w:divBdr>
    </w:div>
    <w:div w:id="1823696150">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eur-lex.europa.eu/eli/dir/1992/12/oj/?loca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2008/118/oj/?locale=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8257</Words>
  <Characters>4707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21</cp:revision>
  <dcterms:created xsi:type="dcterms:W3CDTF">2017-09-27T07:44:00Z</dcterms:created>
  <dcterms:modified xsi:type="dcterms:W3CDTF">2021-12-14T09:45:00Z</dcterms:modified>
</cp:coreProperties>
</file>