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24-TA-1475: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Enerģētikas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Enerģētikas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pārskatīt Likumprojekta redakciju, tajā iestrādājot skaidrus un nepārprotamus kvalitātes u.c. kritērijus koksnei, kas definētu koksnes veidus (tai skaitā apaļkokus), kas būtu izmantojami siltumapgādē, jo to zemās kvalitātes dēļ nav izmantojami rūpnieciskā ražošanā. Aicinām ņemt vērā, ka centralizētajā siltumapgādē lielākā daļa nepieciešamās siltumenerģijas tiek saražota, izmantojot atjaunīgos energoresursus, t.i. koksnes šķeldu, un nepārdomātas izmaiņas koksnes klasifikācijā var radīt apdraudējumu kurināmā pieejamībai un novest pie siltumenerģijas tarifu pieauguma.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 panta pirmās daļas definīcija izslēgta saskaņā ar juridiskās tehnikas nosacījumiem, to iestrādājot Likumprojekta 6. pantā, ņemot vērā, ka "rūpnieciskie apaļie kokmateriāli" tiek lietots tikai vienā vietā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aicina Latvijas Siltumuzņēmumu asociāciju skatīt skaidrojumu likumprojekta sākotnēs ietekmes izvērtējumā (anotācijā) (turpmāk - anotācija). Likumprojektā iekļautie </w:t>
            </w:r>
            <w:r w:rsidR="00000000" w:rsidRPr="00000000" w:rsidDel="00000000">
              <w:rPr>
                <w:b w:val="1"/>
                <w:rtl w:val="0"/>
              </w:rPr>
              <w:t xml:space="preserve">kaskadēšanas nosacījumi netiks attiecināti uz vispārējo biomasas izmantošanu</w:t>
            </w:r>
            <w:r w:rsidR="00000000" w:rsidRPr="00000000" w:rsidDel="00000000">
              <w:rPr>
                <w:rtl w:val="0"/>
              </w:rPr>
              <w:t xml:space="preserve">, t.i. tie nebūs kā kritērijs vai rādītājs biomasas izmantošanai rūpniecībā vai enerģētikā vai kā aizliegums rūpniecisko apaļkoksni izmantot enerģētikā. Tas nebūs arī kā kritērijs, lai gadījumos, ja rūpnieciskā apaļkoksne tiek izmantota enerģētikā, jo pēc tās kvalitātes tā nav izmantojama rūpniecībā, to uzskatītu par fosilo kurināmo vai neilgtspējīgu kurināmo.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un tā anotācijā ir konkrēti pateikts, ka likumprojektā iekļautie nosacījumi ir jāņem vērā atbalsta shēmu nosacījumos, piemēram, atbalsta programmās biomasas izmantošanai (tieši biomasas kā kurināmā izmantošanai, nevis, piemēram, biomasas tehnoloģiju iegādei / uzstādīšanai), līdz ar to atbilstoši likumprojektam, ja tiek izstrādāta kāda atbalsta shēma tieši biomasas izmantošanai, tad šādas atbalsta shēmas nosacījumos būs jānosaka, ka atbalsts netiek piešķirts, ja enerģijas ražošanai tiek izmantoti rūpnieciskie apaļkoki, un šādu atbalsta shēmu ietvaros komersantam, kas saņem tiešu finansiālu atbalstu, būs jāpierāda, ka tas šādus apaļkokus neizmanto. Bet šie nosacījumi nav uzskatāmi par vispārīgo nosacījumu biomasas kurināmā izmantošanas aizliegumam vai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Enerģētikas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w:t>
            </w:r>
            <w:r w:rsidR="00000000" w:rsidRPr="00000000" w:rsidDel="00000000">
              <w:rPr>
                <w:vertAlign w:val="superscript"/>
                <w:rtl w:val="0"/>
              </w:rPr>
              <w:t xml:space="preserve">1</w:t>
            </w:r>
            <w:r w:rsidR="00000000" w:rsidRPr="00000000" w:rsidDel="00000000">
              <w:rPr>
                <w:rtl w:val="0"/>
              </w:rPr>
              <w:t xml:space="preserve">) rūpnieciskie apaļkoki - zāģbaļķi, finierkluči, papīrmalka (apaļkoku vai šķeltā veidā), kā arī citi apaļkoki, kas ir derīgi rūpnieciskai izmantošanai, izņemot apaļkokus, kuru raksturlielumi, piemēram, suga, izmēri, taisnums un zarainums, tos dara nederīgus rūpnieciskai izmantošanai, ko atkarībā no attiecīgajiem meža un tirgus apstākļiem definē un pienācīgi pamato dalībvalstis;".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"ko atkarībā no attiecīgajiem meža un tirgus apstākļiem definē un pienācīgi pamato dalībvalstis" un tā vietā likumprojektā sniegt attiecīgu skaidrojumu (definīciju), bet likumprojekta anotācijā - pienācīgu pamatojumu, tādējādi pienācīgi pārņemot Eiropas Parlamenta un Padomes 2023. gada 18. oktobra direktīvas (ES) 2023/2413, ar ko attiecībā uz atjaunīgo energoresursu enerģijas izmantošanas veicināšanu groza direktīvu (ES) 2018/2001, regulu (ES) 2018/1999 un direktīvu 98/70/EK un atceļ Padomes direktīvu (ES) 2015/652 (turpmāk - direktīva Nr. 2023/2413), 1.panta "1" punkta "a"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un likumprojekta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jaunu 33.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ir pilnīgi nesaprotama, jo nav iespējams saprast vispār uz kādiem standartiem atsaucas, turklāt sevī ietver enerģētikas krizes potenciālus cēloņus.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ir tikai viens standarts, kas apraksta/regulē apaļkoku kvalitātes prasības un tas ir Nacionālā apaļo kokmateriālu kvalitātes prasību standarta (LVS 80). Tajā ir definētas visa veida apaļkoku kvalitātes, t.sk. to, ko pamatā izmanto enerģētikā, tādēļ likumprojekta definīcijā iekļautā frāze "un kuri neatbilst standartos apaļkoku kvalitātes noteikšanas jomā noteiktajām prasībām" var radīt interpretāciju, ka pat malka, atbilstot standartā noteiktām prasībām, nedrīkst tikt izmantota enerģētikā.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nepalīdz no direktīvas paņemtā piezīme "izņemot apaļkokus, kuru raksturlielumi, piemēram, suga, izmēri, taisnums un zarainums, tos dara nederīgus rūpnieciskai izmantošanai", jo faktiski visi apaļkoki, t.sk. pat satrupējušākais un līkākais, ir izmantojami rūpnieciskajai ražošanai un to Latvijā dara, piemēram, Kronospan Riga ražojot OSB plātnes vai Baltic Bloc Madonas pusē ražojot kompozītblokus. Protams, esošā rūpniecība nevar pārstrādāt visu šādas kvalitātes apjomu un arī uz to šobrīd neiet, jo būtiskus apjomus patērē sašķeldotā veidā mūsu centrālā siltumapgāde.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likumprojekta definīcija vai nu novedīs pie netieša likumpārkāpuma un birokrātijas pieauguma (jo enerģētikas uzņēmumi būs spiesti "interpretēt"), vai arī padarīs enerģētiku dārgu (caur CO2 kvotu pirkšanu vai kurināmā trūkuma)! Tādēļ aicinu izmantot direktīvā doto interpretācijas iespēju "attiecīgajiem meža un tirgus apstākļiem definē un pienācīgi pamato dalībvalstis" un skaidri definēt apaļkoku sortimentu nosaukumus atbilstoši LVS 80. Mūsu apstākļos malkai un tehnoloģiskajai koksnei (kas nereti ir vēl sliktākā kvalitātē kā malka) ir loģiski nonākt enerģētikā un Latvijas enerģētikai tos vajag. Tādēļ iesaku 1:1 ņemt Ekonomikas ministrijas piedāvāto definīciju vai arī vēl lielākai skaidrībai papildinot to ar standarta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rūpnieciskie apaļkoki – apaļie kokmateriāli, kas  atbilst Latvijas valsts standartam noteiktajām visu sugu zāģbaļķu, finierkluču, stabu, mietu, būvbalķu un taras kluču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rūpnieciskie apaļkoki – apaļie kokmateriāli, kas saskaņā ar Latvijas nacionālajam apaļo kokmateriālu kvalitātes prasību standarta noteiktajiem kvalitātes kritērijiem atbilst visu sugu zāģbaļķu, finierkluču, stabu, mietu, būvbalķu un taras kluču kvalitātes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 panta pirmās daļas definīcija izslēgta saskaņā ar juridiskās tehnikas nosacījumiem, to iestrādājot Likumprojekta 6. pantā, ņemot vērā, ka "rūpnieciskie apaļie kokmateriāli" tiek lietots tikai vienā vietā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Latvijas Kokmateriālu ražotāju un tirgotāju asociāciju skatīt skaidrojumu anotācijā. Likumprojektā iekļautie kaskadēšanas nosacījumi netiks attiecināti uz vispārējo biomasas izmantošanu, t.i. tie nebūs kā kritērijs vai rādītājs biomasas izmantošanai rūpniecībā vai enerģētikā vai kā aizliegums rūpniecisko apaļkoksni izmantot enerģētikā. Tas nebūs arī kā kritērijs, lai gadījumos, ja rūpnieciskā apaļkoksne tiek izmantota enerģētikā, jo pēc tās kvalitātes tā nav izmantojama rūpniecībā, to uzskatītu par fosilo kurināmo vai neilgtspējīgu kurināmo.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un tā anotācijā ir konkrēti pateikts, ka likumprojektā iekļautie nosacījumi ir jāņem vērā atbalsta shēmu nosacījumos, piemēram, atbalsta programmās biomasas izmantošanai (tieši biomasas kā kurināmā izmantošanai, nevis, piemēram, biomasas tehnoloģiju iegādei / uzstādīšanai), līdz ar to atbilstoši likumprojektam, ja tiek izstrādāta kāda atbalsta shēma tieši biomasas izmantošanai, tad šādas atbalsta shēmas nosacījumos būs jānosaka, ka atbalsts netiek piešķirts, ja enerģijas ražošanai tiek izmantoti rūpnieciskie apaļkoki, un šādu atbalsta shēmu ietvaros komersantam, kas saņem tiešu finansiālu atbalstu, būs jāpierāda, ka tas šādus apaļkokus neizmanto. Bet šie nosacījumi nav uzskatāmi par vispārīgo nosacījumu biomasas kurināmā izmantošanas aizliegumam vai ierobežojumam.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b w:val="1"/>
                <w:rtl w:val="0"/>
              </w:rPr>
              <w:t xml:space="preserve">apakšlietotājs</w:t>
            </w:r>
            <w:r w:rsidR="00000000" w:rsidRPr="00000000" w:rsidDel="00000000">
              <w:rPr>
                <w:rtl w:val="0"/>
              </w:rPr>
              <w:t xml:space="preserve"> - fiziska vai juridiska persona, kura no centralizētas siltumapgādes sistēmas vai centralizētās aukstumapgādes sistēmas saņem siltumenerģiju vai aukstumenerģiju paša vajadzībām (galapatēriņam) un kurai nav spēkā esoša līguma par siltumenerģijas vai aukstumenerģijas piegādi ar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minētais piemērs ar daudzdzīvokļu mājas dzīvokļa īpašnieku vai īrnieku, kas it kā patērē no centralizētās siltumapgādes (CSA) sistēmas saņemto siltumenerģiju, ir nekorekts, rada nepareizu priekšstatu par sistēmas darbību un piederības robežām tajā un, attiecīgi, arī rada šķietamu vajadzību ieviest papildus terminu. CSA sistēmā siltumenerģiju piegādā daudzīvokļu ēku apkures sistēmas vajadzībām, kas, izmantojot šo enerģiju, karsē ūdeni un/vai apsilda telpas. Dzīvoklis (tā īpašnieks) tiešā veidā siltumenerģiju nepatērē / nesaņem. Arī Direktīva  Nr. 2023/1791 nosaka, ka </w:t>
            </w:r>
            <w:r w:rsidR="00000000" w:rsidRPr="00000000" w:rsidDel="00000000">
              <w:rPr>
                <w:i w:val="1"/>
                <w:rtl w:val="0"/>
              </w:rPr>
              <w:t xml:space="preserve">“galaizmantotājs [..] iepērk siltumapgādi, aukstumapgādi vai mājsaimniecības karsto ūdeni [..]</w:t>
            </w:r>
            <w:r w:rsidR="00000000" w:rsidRPr="00000000" w:rsidDel="00000000">
              <w:rPr>
                <w:rtl w:val="0"/>
              </w:rPr>
              <w:t xml:space="preserve">” nevis saņem enerģiju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21.10.2008. noteikumi Nr. 876 “Siltumenerģijas piegādes un lietošanas noteikumi” paredz, ka </w:t>
            </w:r>
            <w:r w:rsidR="00000000" w:rsidRPr="00000000" w:rsidDel="00000000">
              <w:rPr>
                <w:i w:val="1"/>
                <w:rtl w:val="0"/>
              </w:rPr>
              <w:t xml:space="preserve">“Siltumenerģiju lietotājam piegādā saskaņā ar šiem noteikumiem un piegādātāja un lietotāja noslēgto līgumu par siltumenerģijas piegādi (turpmāk – līgums). Ja līgums nav noslēgts, siltumenerģiju lietot aizliegts.</w:t>
            </w:r>
            <w:r w:rsidR="00000000" w:rsidRPr="00000000" w:rsidDel="00000000">
              <w:rPr>
                <w:rtl w:val="0"/>
              </w:rPr>
              <w:t xml:space="preserve">” Attiecīgi nav iespējama situācija, ka siltumenerģijas piegāde notiek bez spēkā esoša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LSUA ieskatā vēl vienas lietotāja kategorijas ieviešana, turklāt tādas, ko nav iespējams identificēt, jo nav noslēgts līgums, rada haosu, iespēju izvairīties no samaksas par piegādāto (saņemto) pakalpojumu un var ievērojami pasliktināt jau tā sarežģīto situāciju ar parādiem par piegādāto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svītrot Likumprojektā iekļauto priekšlikumu papildināt likumu ar 1.</w:t>
            </w:r>
            <w:r w:rsidR="00000000" w:rsidRPr="00000000" w:rsidDel="00000000">
              <w:rPr>
                <w:vertAlign w:val="superscript"/>
                <w:rtl w:val="0"/>
              </w:rPr>
              <w:t xml:space="preserve">6</w:t>
            </w:r>
            <w:r w:rsidR="00000000" w:rsidRPr="00000000" w:rsidDel="00000000">
              <w:rPr>
                <w:rtl w:val="0"/>
              </w:rPr>
              <w:t xml:space="preserve"> punktu, bet pieļauj, ka galalietotāja definīcija tiek ieviesta, lai nodrošinātu</w:t>
            </w:r>
            <w:r w:rsidR="00000000" w:rsidRPr="00000000" w:rsidDel="00000000">
              <w:rPr>
                <w:u w:val="single"/>
                <w:rtl w:val="0"/>
              </w:rPr>
              <w:t xml:space="preserve"> tikai un vienīgi</w:t>
            </w:r>
            <w:r w:rsidR="00000000" w:rsidRPr="00000000" w:rsidDel="00000000">
              <w:rPr>
                <w:rtl w:val="0"/>
              </w:rPr>
              <w:t xml:space="preserve"> direktīvas prasību par informācijas par patēriņa pieejamību galalietotājiem transponēšanu Latvijas likumdošanā.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likumprojektā (un Likumā) izmantots tikai vienu reizi, tā skaidrojums pievienots attiecīgajā panta daļā, kur tas izmantots.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"siltumapgādes vai aukstumapgādes apakšlietotājs" ir fiziska vai juridiska persona, kura pēc vienošanās ar galalietotāju lieto siltumapgādi vai aukstumapgādi paša vajadzībām (galapatēriņam) un kurai nav spēkā esoša līguma par siltumenerģijas vai aukstumenerģijas piegādi ar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b w:val="1"/>
                <w:rtl w:val="0"/>
              </w:rPr>
              <w:t xml:space="preserve">apakšlietotājs</w:t>
            </w:r>
            <w:r w:rsidR="00000000" w:rsidRPr="00000000" w:rsidDel="00000000">
              <w:rPr>
                <w:rtl w:val="0"/>
              </w:rPr>
              <w:t xml:space="preserve"> - fiziska vai juridiska persona, kura no centralizētas siltumapgādes sistēmas vai centralizētās aukstumapgādes sistēmas saņem siltumenerģiju vai aukstumenerģiju paša vajadzībām (galapatēriņam) un kurai nav spēkā esoša līguma par siltumenerģijas vai aukstumenerģijas piegādi ar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Likumprojektā piedāvātais termina “apakšlietotājs” skaidrojums ir tiesiski neskaidrs un rada pretrunu ar Ministru kabineta 2008.gada 21.oktobra noteikumos Nr.876 “Siltumenerģijas piegādes un lietošanas noteikumi” noteikto, ka siltumenerģija no centralizētās siltumapgādes sistēmas tiek saņemta tikai tādā gadījumā, ja ir noslēgts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termins “apakšlietotājs” ir ietverts arī Elektroenerģijas tirdzniecības un lietošanas noteikumos, kas ir izdoti saskaņā ar Elektroenerģijas tirgus likumu. Elektroenerģijas tirdzniecības un lietošanas noteikumu 2.1. apakšpunktā noteikts, ka apakšlietotājs ir persona, kas pēc vienošanās ar lietotāju izmanto tā īpašumā vai valdījumā esošus elektrotīklus elektroenerģijas saņemšanai un nepērk elektroenerģiju no tirgotāja vai sistēmas operatora. Elektroenerģijas tirgus likumā savukārt noteikts, ka šajā likumā ir lietoti tādi paši termini kā Enerģētikas likumā, ciktāl šajā likumā nav noteikts citādi. Elektroenerģijas tirgus likumā termins “apakšlietotājs” nav definēts.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Regulatora vērtējumā, izvēloties Enerģētikas likumā ieviest pēc jēgas līdzīgu terminu kā Elektroenerģijas tirdzniecības un lietošanas noteikumos, termina skaidrojums jāveido līdzīgi, turklāt tas ir jāsašaurina uz “siltumenerģijas vai aukstumenerģijas apakšlietotājs”.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arī pārskatīt Anotācijā pie termina “apakšlietotājs” skaidrotā (tajā skaitā, ka “dzīvokļu īpašnieki ir apakšlietotāji, jo tie patērē minēto siltumenerģiju, bet tiem nav sava individuāla līguma ar piegādātāju”) atbilstību (a) Dzīvojamo māju pārvaldīšanas likumam, tajā skaitā 17.</w:t>
            </w:r>
            <w:r w:rsidR="00000000" w:rsidRPr="00000000" w:rsidDel="00000000">
              <w:rPr>
                <w:vertAlign w:val="superscript"/>
                <w:rtl w:val="0"/>
              </w:rPr>
              <w:t xml:space="preserve">2 </w:t>
            </w:r>
            <w:r w:rsidR="00000000" w:rsidRPr="00000000" w:rsidDel="00000000">
              <w:rPr>
                <w:rtl w:val="0"/>
              </w:rPr>
              <w:t xml:space="preserve">panta pirmajā un otrajā daļā noteiktajam, ka līgumus par dzīvojamās mājas uzturēšanai nepieciešamo pakalpojumu nodrošināšanu slēdz visu dzīvojamās mājas īpašnieku vārdā; (b) Dzīvokļa īpašuma likumam, tajā skaitā 15.panta pirmajā daļā noteiktajam, ka dzīvokļu īpašnieku kopība ir tiesību subjekts. Šā likuma 16.pantā noteiktās kompetences ietvaros tā var iegūt tiesības un uzņemties saistības, iegūt īpašuma un citas lietu tiesības, kā arī būt prasītāja un atbildētāja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likumprojektā (un Likumā) izmantots tikai vienu reizi, tā skaidrojums pievienots attiecīgajā panta daļā, kur tas izmantots.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"siltumapgādes vai aukstumapgādes apakšlietotājs" ir fiziska vai juridiska persona, kura pēc vienošanās ar galalietotāju lieto siltumapgādi vai aukstumapgādi paša vajadzībām (galapatēriņam) un kurai nav spēkā esoša līguma par siltumenerģijas vai aukstumenerģijas piegādi ar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w:t>
            </w:r>
            <w:r w:rsidR="00000000" w:rsidRPr="00000000" w:rsidDel="00000000">
              <w:rPr>
                <w:vertAlign w:val="superscript"/>
                <w:rtl w:val="0"/>
              </w:rPr>
              <w:t xml:space="preserve">1</w:t>
            </w:r>
            <w:r w:rsidR="00000000" w:rsidRPr="00000000" w:rsidDel="00000000">
              <w:rPr>
                <w:rtl w:val="0"/>
              </w:rPr>
              <w:t xml:space="preserve">) rūpnieciskie apaļkoki - apaļie kokmateriāli, kas atbilst standartos apaļkoku kvalitātes noteikšanas jomā, standartos zāģmateriālu un konstrukciju kokmateriālu kvalitātes noteikšanas jomā vai standartos saplākšņu un finieru vērtētēšanas jomā noteiktajām visu sugu zāģbaļķu, finierkluču, stabu, mietu, būvbalķu un taras kluču kvalitātes prasībām, kā arī citi apaļkoki, kas ir derīgi rūpnieciskai izmantošanai, izņemot apaļkokus, kuru raksturlielumi, piemēram, suga, izmēri, taisnums un zarainums, tos dara nederīgus rūpnieciskai izmantošanai, un kuri neatbilst standartos apaļkoku kvalitātes noteikšanas jomā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atsauces uz standartiem normatīvajos aktos izdarāmas atbilstoši Standartizācijas likuma 13. panta prasībām, proti, ja tiek izdarīta netieša atsauce uz standartiem, tad tiesību akta tekstā jāsniedz norāde uz piemērojamajiem standartiem kā iespējamo risinājumu tiesību akta prasību izpildei* vai alternatīvi izdarāma atsauce uz obligātajiem standartiem, bet šādā gadījumā likumprojektā šie standarti arī konkrēti jānorāda vai anotācijā jāskaidro, kādā normatīvajā aktā minētie standarti ir ietverti. Konkrētajā gadījumā likumprojekta 1. pantā pirmšķietami atsauce izdarīta uz obligātajiem standartiem, tādēļ likumprojekts atbilstoši precizējams vai sniedzams attiecīgs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Lietojot netiešās atsauces, tiek rekomendēta standartu brīvprātīga pielietošana, lai izpildītu tiesību aktā noteiktās obligātās prasības;  gadījumā, ja šie standarti netiek piemēroti, personai, kas izvēlējusies izmantot alternatīvu risinājumu, ir jāpierāda, ka tās tehniskais izpildījuma rezultāts nav sliktāks par to, kas ir noteikts standartos, proti, ļauj izpildīt tiesību aktā noteiktās būtiskās prasības  (sīkāk, kā atsaukties uz standartiem sk., piem., https://m.juristavards.lv/wwwraksti/JV/BIBLIOTEKA/PRAKSES_MATERIALI/ATSAUCES%20UZ%20STANDARTIEM%20TIESIBU%20AKTOS__2022.PDF)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tai skaitā ņemot vērā Ekonomikas ministrijas un Latvijas Kokmateriālu ražotāju un tirgotāju asociācijas atzinumus. Norādām, ka ir iekļauta netiešā atsauce uz nacionālo standartu, jo direktīva noteic, ka dalībvalsts definē tos apaļkokus, kas ir derīgi rūpnieciskai izmantošanai. Vienlaikus alternatīvais risinājums būtu jāiekļauj un jāpierāda konkrētajos atbalsta shēmas nosacījumos.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 saskaņo šā panta sestajā daļā minētos atbalsta shēmas nosacījumus ar citas Eiropas Savienības dalībvalsts kompetento iestādi, saskaņojot arī atjaunīgās enerģijas apjoma pārdali iesaistīto dalībvalstu atjaunīgās enerģijas datos, un par minētās atbalsta shēmas nosacījumiem trīs mēnešu laikā pēc pirmā gada, kad atbalsta shēmas nosacījumi ir stājušies spēkā, paziņo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skaidrot iespējamās tiesiskās sekas, ja citas Eiropas Savienības dalībvalsts kompetentā iestāde atbalsta shēmas nosacījumus nesaskaņo, piemēram, vai šādos gadījumos piemērojama Enerģētikas likuma 58.</w:t>
            </w:r>
            <w:r w:rsidR="00000000" w:rsidRPr="00000000" w:rsidDel="00000000">
              <w:rPr>
                <w:vertAlign w:val="superscript"/>
                <w:rtl w:val="0"/>
              </w:rPr>
              <w:t xml:space="preserve">5</w:t>
            </w:r>
            <w:r w:rsidR="00000000" w:rsidRPr="00000000" w:rsidDel="00000000">
              <w:rPr>
                <w:rtl w:val="0"/>
              </w:rPr>
              <w:t xml:space="preserve"> pantā paredzētā kārtība, tostarp atkārtoti iesniedzams Klimata un enerģētikas ministrijas ziņojums. Nepieciešamības gadījumā lūdzam precizēt likumprojektu. Papildus lūdzam likumprojekta anotācijā detalizētāk skaidrot vairāku dalībvalstu atbalsta shēmu apvienošanas procesu, tostarp, vai atsevišķos gadījumos šī procesa ietvaros paredzēts noslēgt arī starptautiskus līgumus (vai starpresoru vienošanās), kur atbalsta shēmas nosacījumi tiktu ietverti.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iekļaujot grozījumos arī Enerģētikas likuma 58.</w:t>
            </w:r>
            <w:r w:rsidR="00000000" w:rsidRPr="00000000" w:rsidDel="00000000">
              <w:rPr>
                <w:vertAlign w:val="superscript"/>
                <w:rtl w:val="0"/>
              </w:rPr>
              <w:t xml:space="preserve">5</w:t>
            </w:r>
            <w:r w:rsidR="00000000" w:rsidRPr="00000000" w:rsidDel="00000000">
              <w:rPr>
                <w:rtl w:val="0"/>
              </w:rPr>
              <w:t xml:space="preserve">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atbalsta shēmu nosacījumi no kādas puses netiek saskaņoti, tad atbalsta shēmas netiek apvienotas un Enerģētikas likumā iekļautie nosacījumi netiek piemēroti. Šis skaidrojums ir iekļauts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skaidri noteikts, ka Latvijā šobrīd nav un netiek plānotas kādas jaunas atbalsta shēmas enerģijas ražošanai no biodegvielas, bioloģiskā šķidrā kurināmā, biomasas degvielas vai biomasas kurināmā (izņemot tās, kas ir noteiktas vai pieļautas ES tiesību aktos), līdz ar to nav iespējama Latvijas atbalsta shēmu apvienošana ar citu Eiropas Savienības atbalsta shēmu. Bet tā, kā minētie nosacījumi ir Direktīvas 2018/2001 nosacījumiem, tad tie ir jātransponē Latvijas normatīvajā regulējumā. Ņemot vērā šo skaidrojumu likumprojekta anotācijā netiks detalizēti skaidrots vairāku dalībvalstu atbalsta shēmu apvienošanas process. Uzskatām, ka nav nepieciešams ieguldīt administratīvo resursu, skaidrojot procesu, kura īstenošana nav plānota. Tāpat, ņemot vērā iepriekš minēto, šobrīd vispār nav iespējams šo procesu skaidrot.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Kārtību, kādā energoapgādes komersanti piegādā un galalietotāji lieto aukstumenerģiju, un gadījumus, kādos energoapgādes komersants var pārtraukt energoapgādes pakalpojumu sniegšanu atsevišķiem galalietotājiem,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Kārtību, kādā nodrošina siltumenerģijas piegādes līgumā un aukstumenerģijas piegādes līgumā ietverto informāciju un rēķinu informāciju galalietotājiem un apakšlietotājiem,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3. pantā ietvertā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00000000" w:rsidRPr="00000000" w:rsidDel="00000000">
              <w:rPr>
                <w:vertAlign w:val="superscript"/>
                <w:rtl w:val="0"/>
              </w:rPr>
              <w:t xml:space="preserve">2</w:t>
            </w:r>
            <w:r w:rsidR="00000000" w:rsidRPr="00000000" w:rsidDel="00000000">
              <w:rPr>
                <w:rtl w:val="0"/>
              </w:rPr>
              <w:t xml:space="preserve">]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minētais pilnvarojums paredz noteikt “kārtību, kādā nodrošina siltumenerģijas piegādes līgumā un aukstumenerģijas piegādes līgumā ietverto informāciju un rēķinu informāciju galalietotājiem un apakšlietotājiem”.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anotācijas 4. sadaļā detalizēti skaidrot likumprojekta 3. pantā ietvertā pilnvarojuma saturu, bet nepieciešamības gadījumā arī precizēt vai papildināt likumprojektā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2015. gada 14. oktobra spriedums lietā Nr. 2015-05-03, 13.1. apakšpunkts.</w:t>
            </w:r>
            <w:r w:rsidR="00000000" w:rsidRPr="00000000" w:rsidDel="00000000">
              <w:rPr>
                <w:vertAlign w:val="superscript"/>
                <w:rtl w:val="0"/>
              </w:rPr>
              <w:t xml:space="preserve">[3] Satversmes tiesas 2011. gada 11. janvāra spriedums lietā Nr. 2010-40-03, 10.1. apakšpunkts.</w:t>
            </w:r>
            <w:r w:rsidR="00000000" w:rsidRPr="00000000" w:rsidDel="00000000">
              <w:rPr>
                <w:vertAlign w:val="superscript"/>
                <w:rtl w:val="0"/>
              </w:rPr>
              <w:t xml:space="preserve">[4] Satversmes tiesas 2011. gada 6. maija spriedums lietā Nr. 2010-57-03, 13.3. apakšpunkts.</w:t>
            </w:r>
            <w:r w:rsidR="00000000" w:rsidRPr="00000000" w:rsidDel="00000000">
              <w:rPr>
                <w:vertAlign w:val="superscript"/>
                <w:rtl w:val="0"/>
              </w:rPr>
              <w:t xml:space="preserve">[5]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papildinot deleģējumus ar vārdu "nosacījumus". Papildināta anotācija, sniedzot papildus skaidrojumu par deleģējumu tvērumu.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Nosacījumus un kārtību, kādā energoapgādes komersanti piegādā un galalietotāji lieto aukstumenerģiju, un gadījumus, kādos energoapgādes komersants var pārtraukt energoapgādes pakalpojumu sniegšanu atsevišķiem galalietotājiem,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Nosacījumus un kārtību, kādā nodrošina siltumenerģijas piegādes līgumā un aukstumenerģijas piegādes līgumā ietverto informāciju un rēķinu informāciju galalietotājiem un siltumapgādes vai aukstumapgādes apakšlietotājiem (fiziska vai juridiska persona, kura pēc vienošanās ar galalietotāju lieto siltumapgādi vai aukstumapgādi paša vajadzībām (galapatēriņam) un kurai nav spēkā esoša līguma par siltumenerģijas vai aukstumenerģijas piegādi ar energoapgādes komersantu),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kārtību, kādā šā likuma 58.</w:t>
            </w:r>
            <w:r w:rsidR="00000000" w:rsidRPr="00000000" w:rsidDel="00000000">
              <w:rPr>
                <w:vertAlign w:val="superscript"/>
                <w:rtl w:val="0"/>
              </w:rPr>
              <w:t xml:space="preserve">7</w:t>
            </w:r>
            <w:r w:rsidR="00000000" w:rsidRPr="00000000" w:rsidDel="00000000">
              <w:rPr>
                <w:rtl w:val="0"/>
              </w:rPr>
              <w:t xml:space="preserve"> panta pirmajā daļā minētie pierādījumi tiek ziņoti energoresursu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4. pantā ietvertā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00000000" w:rsidRPr="00000000" w:rsidDel="00000000">
              <w:rPr>
                <w:vertAlign w:val="superscript"/>
                <w:rtl w:val="0"/>
              </w:rPr>
              <w:t xml:space="preserve">2</w:t>
            </w:r>
            <w:r w:rsidR="00000000" w:rsidRPr="00000000" w:rsidDel="00000000">
              <w:rPr>
                <w:rtl w:val="0"/>
              </w:rPr>
              <w:t xml:space="preserve">]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minētais pilnvarojums paredz noteikt “kārtību, kādā šā likuma 58.</w:t>
            </w:r>
            <w:r w:rsidR="00000000" w:rsidRPr="00000000" w:rsidDel="00000000">
              <w:rPr>
                <w:vertAlign w:val="superscript"/>
                <w:rtl w:val="0"/>
              </w:rPr>
              <w:t xml:space="preserve">7</w:t>
            </w:r>
            <w:r w:rsidR="00000000" w:rsidRPr="00000000" w:rsidDel="00000000">
              <w:rPr>
                <w:rtl w:val="0"/>
              </w:rPr>
              <w:t xml:space="preserve"> panta pirmajā daļā minētie pierādījumi tiek ziņoti energoresursu informācijas sistēmā”.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skaidrot likumprojekta anotācijas 4. sadaļā likumprojekta 4. pantā ietverto pilnvarojumu, nepieciešamības gadījumā minēto pilnvarojumu precizējot (piem., ja paredzēts Ministru kabineta noteikumos izsmeļoši noteikt, kādi pierādījumi iesniedzami vai paredzēt atbrīvojumus no pierādīšanas u.tml.) precizēt vai papildināt šo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2015. gada 14. oktobra spriedums lietā Nr. 2015-05-03, 13.1. apakšpunkts.</w:t>
            </w:r>
            <w:r w:rsidR="00000000" w:rsidRPr="00000000" w:rsidDel="00000000">
              <w:rPr>
                <w:vertAlign w:val="superscript"/>
                <w:rtl w:val="0"/>
              </w:rPr>
              <w:t xml:space="preserve">[3] Satversmes tiesas 2011. gada 11. janvāra spriedums lietā Nr. 2010-40-03, 10.1. apakšpunkts.</w:t>
            </w:r>
            <w:r w:rsidR="00000000" w:rsidRPr="00000000" w:rsidDel="00000000">
              <w:rPr>
                <w:vertAlign w:val="superscript"/>
                <w:rtl w:val="0"/>
              </w:rPr>
              <w:t xml:space="preserve">[4] Satversmes tiesas 2011. gada 6. maija spriedums lietā Nr. 2010-57-03, 13.3. apakšpunkts.</w:t>
            </w:r>
            <w:r w:rsidR="00000000" w:rsidRPr="00000000" w:rsidDel="00000000">
              <w:rPr>
                <w:vertAlign w:val="superscript"/>
                <w:rtl w:val="0"/>
              </w:rPr>
              <w:t xml:space="preserve">[5]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šis deleģējums ir jau spēkā Enerģētikas likuma 58.</w:t>
            </w:r>
            <w:r w:rsidR="00000000" w:rsidRPr="00000000" w:rsidDel="00000000">
              <w:rPr>
                <w:vertAlign w:val="superscript"/>
                <w:rtl w:val="0"/>
              </w:rPr>
              <w:t xml:space="preserve">9</w:t>
            </w:r>
            <w:r w:rsidR="00000000" w:rsidRPr="00000000" w:rsidDel="00000000">
              <w:rPr>
                <w:rtl w:val="0"/>
              </w:rPr>
              <w:t xml:space="preserve"> panta pirmās daļas 8.punktā šādā redakcijā "8) kārtību, kādā šā likuma 58.</w:t>
            </w:r>
            <w:r w:rsidR="00000000" w:rsidRPr="00000000" w:rsidDel="00000000">
              <w:rPr>
                <w:vertAlign w:val="superscript"/>
                <w:rtl w:val="0"/>
              </w:rPr>
              <w:t xml:space="preserve">7</w:t>
            </w:r>
            <w:r w:rsidR="00000000" w:rsidRPr="00000000" w:rsidDel="00000000">
              <w:rPr>
                <w:rtl w:val="0"/>
              </w:rPr>
              <w:t xml:space="preserve"> panta trešajā daļā minētā informācija tiek ievadīta energoresursu informācijas sistēmā;". Likumprojekts paredz precizēt atsauci no likuma 58.</w:t>
            </w:r>
            <w:r w:rsidR="00000000" w:rsidRPr="00000000" w:rsidDel="00000000">
              <w:rPr>
                <w:vertAlign w:val="superscript"/>
                <w:rtl w:val="0"/>
              </w:rPr>
              <w:t xml:space="preserve">7</w:t>
            </w:r>
            <w:r w:rsidR="00000000" w:rsidRPr="00000000" w:rsidDel="00000000">
              <w:rPr>
                <w:rtl w:val="0"/>
              </w:rPr>
              <w:t xml:space="preserve"> panta trešās daļas uz 58.</w:t>
            </w:r>
            <w:r w:rsidR="00000000" w:rsidRPr="00000000" w:rsidDel="00000000">
              <w:rPr>
                <w:vertAlign w:val="superscript"/>
                <w:rtl w:val="0"/>
              </w:rPr>
              <w:t xml:space="preserve">7</w:t>
            </w:r>
            <w:r w:rsidR="00000000" w:rsidRPr="00000000" w:rsidDel="00000000">
              <w:rPr>
                <w:rtl w:val="0"/>
              </w:rPr>
              <w:t xml:space="preserve"> panta pirmo daļu un aizstāt vārdu "informācija" ar vārdu "pierādījumi", jo šis vārds ir minēts likuma 58.</w:t>
            </w:r>
            <w:r w:rsidR="00000000" w:rsidRPr="00000000" w:rsidDel="00000000">
              <w:rPr>
                <w:vertAlign w:val="superscript"/>
                <w:rtl w:val="0"/>
              </w:rPr>
              <w:t xml:space="preserve">7</w:t>
            </w:r>
            <w:r w:rsidR="00000000" w:rsidRPr="00000000" w:rsidDel="00000000">
              <w:rPr>
                <w:rtl w:val="0"/>
              </w:rPr>
              <w:t xml:space="preserve">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informējam (jo šis skaidrots arī likuma "Grozījumi Enerģētikas likumā", kas stājās spēkā 15.07.2024. anotācijā), ka Ministru kabineta noteikumi, kas minēti šajā deleģējumā ir jau spēkā - Ministru kabineta 2022.gada 2.novembra noteikumi Nr. 686 "Noteikumi par ilgtspējas un siltumnīcefekta gāzu emisiju ietaupījuma kritērijiem, no biomasas kurināmā ražotās elektroenerģijas kritērijiem un kārtību, kādā pamatojama, apliecināma un uzraugāma atbilstība minētajiem kritērijiem" (24-TA-1222 precizē šo noteikumu izdošanas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šobrīd komersanti energoresursu informācijas sistēmā ievada minētos pierādījumus, un komersantiem jau šobrīd ir skaidrs, kas un kādā veidā tiem ir jādara.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anotācijā šis jautājums netiks atkārtoti skaidrots, jo tas jau ir skaidrots spēkā esošo tiesību aktu anotācijā. Tieslietu ministrija var izvērtēt vai iepriekšminētie Ministru kabineta noteikumi Nr. 686 atbilst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kārtību, kādā šā likuma 58.</w:t>
            </w:r>
            <w:r w:rsidR="00000000" w:rsidRPr="00000000" w:rsidDel="00000000">
              <w:rPr>
                <w:vertAlign w:val="superscript"/>
                <w:rtl w:val="0"/>
              </w:rPr>
              <w:t xml:space="preserve">7</w:t>
            </w:r>
            <w:r w:rsidR="00000000" w:rsidRPr="00000000" w:rsidDel="00000000">
              <w:rPr>
                <w:rtl w:val="0"/>
              </w:rPr>
              <w:t xml:space="preserve"> panta pirmajā daļā minētie pierādījumi tiek ziņoti energoresursu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Regulators uzrauga centralizētās siltumapgādes sistēmas operatoru un centralizētās aukstumapgādes sistēmas operatoru atbilstību šā panta pirmajā daļā noteiktajiem efektīvas centralizētas siltumapgādes un efektīvas centralizētas aukstumapgādes kritērijiem un saskaņo šā panta otrajā daļā minētos plānus primārās enerģijas efektīvāka patēriņa nodrošināšanai, siltumenerģijas un aukstumenerģijas sadales zudumu samazināšanai un atjaunīgās enerģijas īpatsvara palielināšanai siltumapgādē un aukstumapgādē.".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Likumprojektā piedāvātie grozījumi Enerģētikas likuma 49.¹ pantā, kas paredz deleģēt Regulatoram papildu pienākumus uzraudzīt centralizētās siltumapgādes un aukstumapgādes sistēmu atbilstību energoefektivitātes kritērijiem un saskaņot komersantu plānus tādos jautājumos kā (a) primārās enerģijas efektīvāka patēriņa nodrošināšanai, (b) siltumenerģijas un aukstumenerģijas sadales zudumu samazināšanai un (c) atjaunīgās enerģijas īpatsvara palielināšanai siltumapgādē un aukstumapgādē, rada vairākas būtiskas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1.punkts noteic pašvaldību autonomo funkciju organizēt iedzīvotājiem siltumapgādes pakalpojumus neatkarīgi no tā, kā īpašumā atrodas dzīvojamais fonds. Saskaņā ar Enerģētikas likuma 51.pantu pašvaldībām jau ir noteikta kompetence un pienākumi organizēt efektīvu siltumapgādi savā teritorijā. Atbilstoši minētajam regulējumam pašvaldībām ir uzdevums veicināt energoefektivitāti un konkurenci siltumapgādes un kurināmā tirgū, ievērot efektīvas siltumapgādes sistēmas kritērijus, izvērtēt vietējo energoresursu un koģenerācijas iespējas, kā arī nodrošināt mērķus, kas saistīti ar siltumnīcefekta gāzu emisiju samazināšanu, atjaunīgās enerģijas īpatsvara palielināšanu un siltumapgādes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akcentējams, ka no Enerģētikas likuma 19.panta 1.</w:t>
            </w:r>
            <w:r w:rsidR="00000000" w:rsidRPr="00000000" w:rsidDel="00000000">
              <w:rPr>
                <w:vertAlign w:val="superscript"/>
                <w:rtl w:val="0"/>
              </w:rPr>
              <w:t xml:space="preserve">1</w:t>
            </w:r>
            <w:r w:rsidR="00000000" w:rsidRPr="00000000" w:rsidDel="00000000">
              <w:rPr>
                <w:rtl w:val="0"/>
              </w:rPr>
              <w:t xml:space="preserve"> daļas 1. un 3.punkta izriet, ka vietējās pašvaldības teritorijas plānojumā vai detālplānojumā var paredzēt energoapgādes komersanta objekta ierīkošanu, kā arī vietējā pašvaldība var atzīt, ka sabiedrības interesēs jauna energoapgādes komersanta objekta ierīkošana vai esošā objekta vai tā daļas izmantošana nav iespējama bez konkrētas zemes izmantošanas. Tādējādi konstatējams, ka vietējās pašvaldības Teritorijas attīstības plānošanas likuma regulējuma ietvaros izstrādā publiskās infrastruktūras, tajā skaitā enerģētikas, ietverot centralizētās siltumapgādes sistēmu, plānošanas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akcentējams ir Enerģētikas likuma 81.panta regulējums, kas nosaka, ka pašvaldības, plānojot energoapgādes attīstību savās administratīvajās teritorijās, var ierosināt energoapgādes komersantu horizontālo integrāciju un komersantu saplūšanu vienotā komersantā, ja tas pazemina energoapgādes perspektīvās robežizmaksas, uzlabo enerģijas lietotāju apgādes drošumu un kvalitāti un enerģijas sadales sistēmu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piedāvātie grozījumi Enerģētikas likuma 49.¹ pantā faktiski nepamatoti dublē šos pienākumus un rada juridisku un institucionālu neskaidrību par to, kurš tieši ir atbildīgs par siltumapgādes sistēmas plānošanu un efektivitāti – pašvaldība vai Regulators.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Regulators norāda, ka  pašvaldība kā vietējā pārvaldes institūcija ir tuvāk iedzīvotājiem un pārzina vietējos apstākļus attiecībā uz to, kas var būtiski ietekmēt siltumapgādes sistēmu efektivitāti un pieejamību. Attiecīgi Enerģētikas likuma 51.pants paredz pašvaldībām rīcības brīvību plānot un vadīt siltumapgādi, ņemot vērā vietējo resursu pieejamību, infrastruktūras īpatnības un tehnisko stāvokli, kā arī sociālekonomiskos apstākļus. Papildus tam pašvaldībām ir arī atbildība par siltumapgādes drošību, nepārtrauktību un ilgtspēju savā reģionā, bet grozījumi Enerģētikas likuma 49.¹ pantā faktiski nosaka to, ka Regulators būs atbildīgs par pašvaldību funkciju izpildi siltumapgādes un aukstumapgādes jomā, kas neatbilst Regulatora funkcijām, jo Regulatoram nav pienākuma regulēt pašvaldību darbu, kā arī uzņemties pašvaldību atbildību siltumapgādes un aukstumapgādes plānošanā.  Politisko lēmumu pieņemšana par siltumapgādes nodrošināšanu ir būtiski saistīta ar vietējo vajadzību sabalansēšanu, un pašvaldības ir piemērotākais līmenis šādu lēmumu pieņemšanai, savukārt to pārraudzību atbilstoši Pašvaldību likuma 64.panta pirmajai daļai nodrošina Vides aizsardzības un reģionālās attīstības ministrija (tagad – Viedās administrācijas un reģionālās attīstības ministrija). Turklāt plānošana saistīta ar nākotnes attīstības jautājumiem, tostarp, pastāvot iespējai tirgū ienākt jauniem siltumenerģijas ražotājiem, kuri Regulatora uzraudzībā (reģistrā) nonāk tikai pēc tam, kad investīcijas faktiski jau ir notikušas un ir sasniegts noteikts lietotājiem nodotā siltuma apjoms; līdz ar to saskaņā ar pastāvošo regulējumu Regulatoram nav iespējams uzraudzīt attīstību tiem ražotājiem, kuri nav reģistrēti Regulatora vestajā reģistrā, bet brīdī, kad tiem iestājas pienākums reģistrēties, investīcijas jau ir notikušas, līdz ar to Regulatora iesaiste attīstības plānošanā ir nokavēta.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normatīvajam regulējumam, Regulatora mērķis ir nodrošināt iespēju saņemt nepārtrauktus, drošus un kvalitatīvus sabiedriskos pakalpojumus, kuru tarifi (cenas) atbilst ekonomiski pamatotām izmaksām, kā arī veicināt attīstību un ekonomiski pamatotu konkurenci regulējamās nozarēs, nosakot sabiedrisko pakalpojumu regulēšanas kārtību un tiesiskās attiecības sabiedrisko pakalpojumu sniegšanā, nevis vietējās siltumapgādes un aukstumapgādes infrastruktūras plānošanas un attīstības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būtu jāpaliek kā kompetentajai iestādei par siltumapgādes efektivitāti un ilgtspēju, kā to paredz Enerģētikas likuma 51.pants un 82.pants, savukārt Viedās administrācijas un reģionālās attīstības ministrijai ir jānodrošina un jāuzrauga, lai pašvaldības, plānojot centralizētās siltumapgādes un aukstumapgādes sistēmas, ievērotu Enerģētikas likuma 49.</w:t>
            </w:r>
            <w:r w:rsidR="00000000" w:rsidRPr="00000000" w:rsidDel="00000000">
              <w:rPr>
                <w:vertAlign w:val="superscript"/>
                <w:rtl w:val="0"/>
              </w:rPr>
              <w:t xml:space="preserve">1</w:t>
            </w:r>
            <w:r w:rsidR="00000000" w:rsidRPr="00000000" w:rsidDel="00000000">
              <w:rPr>
                <w:rtl w:val="0"/>
              </w:rPr>
              <w:t xml:space="preserve"> panta pirmajā daļā noteiktos efektīvas centralizētas siltumapgādes un efektīvas centralizētas aukstumapgādes kritērijus, saskaņojot ar Viedās administrācijas un reģionālās attīstības ministriju minētos plānus primārās enerģijas efektīvāka patēriņa nodrošināšanai, siltumenerģijas un aukstumenerģijas sadales zudumu samazināšanai un atjaunīgās enerģijas īpatsvara palielināšanai siltumapgādē un aukstumapgādē.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attiecīgās funkcijas izpildi deleģējot Enerģētikas un vides aģentūrai.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Enerģētikas un vides aģentūra uzrauga centralizētās siltumapgādes sistēmas operatoru un centralizētās aukstumapgādes sistēmas operatoru atbilstību šā panta pirmajā daļā noteiktajiem efektīvas centralizētas siltumapgādes un efektīvas centralizētas aukstumapgādes kritērijiem un saskaņo šā panta otrajā daļā minētos plānus primārās enerģijas efektīvāka patēriņa nodrošināšanai, siltumenerģijas un aukstumenerģijas sadales zudumu samazināšanai un atjaunīgās enerģijas īpatsvara palielināšanai siltumapgādē un aukstumapgādē.".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atbalsta shēmas no biodegvielām, bioloģiskajiem šķidrajiem kurināmajiem un biomasas kurināmajiem vai biomasas degvielām ražotās enerģijas izmantošanai, minētās atbalsta shēmas izstrādā tā, lai nestimulētu neilgtspējīgus ražošanas un izmantošanas paņēmienus un nekropļotu konkurenci ar materiālu nozarēm, lai nodrošinātu, ka koksnes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minētās atbalsta shēmas, var pieņemt lēmumu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 vai kopšanas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šā panta septītajā daļā minēto lēmumu izskaidro attiecīgā normatīvā regulējuma par atbalsta shēmu anotācijā un informāciju par to pēc atbalsta shēmas normatīvā regulējuma apstiprināšanas iesniedz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rūpniecisko apaļkoku,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 izņemot, ja šāda elektroenerģijas ražošana neatbilst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2021.gada 24.jūlija regulas (ES) 2021/1056,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pantā norādīt, kāda informācija saistībā ar normatīvo regulējumu par atbalsta shēmu ir Klimata un enerģētikas ministrijā jāiesniedz (proti, informācija par lēmumu, normatīvo regulējumu vai atbalsta shēmu) un kādā termiņā šī informācija ir jāiesniedz,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6.pantā iekļautajā Enerģētikas likuma jaunajā 58.</w:t>
            </w:r>
            <w:r w:rsidR="00000000" w:rsidRPr="00000000" w:rsidDel="00000000">
              <w:rPr>
                <w:vertAlign w:val="superscript"/>
                <w:rtl w:val="0"/>
              </w:rPr>
              <w:t xml:space="preserve">11</w:t>
            </w:r>
            <w:r w:rsidR="00000000" w:rsidRPr="00000000" w:rsidDel="00000000">
              <w:rPr>
                <w:rtl w:val="0"/>
              </w:rPr>
              <w:t xml:space="preserve"> panta 8.daļā ir skaidri noteikts, ka Ministrijā tiek iesniegta informācija (brīvā formā), ka ir apstiprināts konkrētais tiesību akts, un Ministrija informācijas apkopošanai izmantos tiesību akta anotāciju vai skaidrojumu (ņemot vērā, ka nosacījumi varētu tikt iekļauti tiesību aktā arī tā izskatīšanas Saeimā laikā, kad tiesību akta anotācija vairs netiek papildināta). Izpratnes uzlabošanai attiecīgās daļas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attiecīgos tiesību aktus jaunu atbalsta shēmu no biodegvielām, bioloģiskajiem šķidrajiem kurināmajiem un biomasas kurināmajiem vai biomasas degvielām ražotās enerģijas izmantošanai nosacījumu noteikšanai, minētās atbalsta shēmas izstrādā tā, lai nestimulētu neilgtspējīgus ražošanas un izmantošanas paņēmienus un nekropļotu konkurenci ar materiālu nozarēm, lai nodrošinātu, ka meža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minētos atbalsta shēmu nosacījumus, var tajos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kas ir lielāka nekā enerģijas ražošanai,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nozares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attiecīgā tiesību akta par atbalsta shēmu sākotnējās ietekmes novērtējuma ziņojumā (anotācijā) izskaidro, kā un kāpēc tiek piemērotas šā panta septītajā daļā minētās atkāpes kaskadēšanas principa piemērošanas secībai, un pēc konkrētā tiesību akta spēkā stāšanos par to informē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rūpniecisko apaļo kokmateriālu - zāģbaļķi, finierkluči, papīrmalka (apaļkoku vai šķeltā veidā), kā arī citi apaļkoki, izmantošanai enerģijas ražošanai, izņemot apaļkokus, kuru īpatnības, piemēram, suga, izmēri, taisnums un zarainums, tos dara nederīgus rūpnieciskai izmantošanai, tostarp, kuri neatbilst visu sugu zāģbaļķu, finierkluču, stabu, mietu, būvbaļķu un taras kluču kvalitātes kritērijiem, kas ir noteikti normatīvajos aktos par koku un apaļo kokmateriālu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panta vienpadsmitā daļa netiek attiecināta uz elektroenerģijas ražošanu no meža biomasas, ja tā atbilst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 gada 24. jūlija regulas 2021/1056/ES,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 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Iestādes, izstrādājot attiecīgos tiesību aktus jaunu atbalsta programmu noteikšanai, minēto atbalsta programmu nosacījumos neiekļauj finansiālo atbalstu individuālo siltumapgādes sistēmu vai apkures iekārtu, kurā tiek izmantots tikai fosilās izcelsmes kurināmais, iegādei un uzstādīšanai."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atbalsta shēmas no biodegvielām, bioloģiskajiem šķidrajiem kurināmajiem un biomasas kurināmajiem vai biomasas degvielām ražotās enerģijas izmantošanai, minētās atbalsta shēmas izstrādā tā, lai nestimulētu neilgtspējīgus ražošanas un izmantošanas paņēmienus un nekropļotu konkurenci ar materiālu nozarēm, lai nodrošinātu, ka koksnes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minētās atbalsta shēmas, var pieņemt lēmumu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 vai kopšanas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šā panta septītajā daļā minēto lēmumu izskaidro attiecīgā normatīvā regulējuma par atbalsta shēmu anotācijā un informāciju par to pēc atbalsta shēmas normatīvā regulējuma apstiprināšanas iesniedz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rūpniecisko apaļkoku,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 izņemot, ja šāda elektroenerģijas ražošana neatbilst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2021.gada 24.jūlija regulas (ES) 2021/1056,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pantā ietvertās atsauces uz apstiprināto normatīvo regulējumu un tā anotāciju aizstāt ar atsaucēm uz konkrētiem normatīvajiem aktiem un dokumentiem, kas tiek virzīti līdztekus ar šiem aktiem. Norādām, ka atbilstoši Latvijas Republikas Satversmes 64. pantam likumdošanas tiesības pieder Saeimai, kā arī tautai šinī Satversmē paredzētā kārtībā un apmēros. Skaidrojam, ka vispārsaistošus normatīvos aktus izdot var Latvijas tauta un šādas valsts institūcijas: Saeima un noteiktā (ierobežotā) apmērā Ministru kabinets un pašvaldībām. Attiecīgi gadījumā, ja ar likumprojektā minēto normatīvo regulējumu apstiprināšanu par atbalsta shēmām saprotama Ministru kabineta noteikumu (kam pievieno informāciju par izstrādātā projekta nepiecieša­mību un ietekmes izvērtējumu) un pašvaldību saistošie noteikumu izdošana (kam pievieno paskaidrojuma rakstu ar saistošo noteikumu sākotnējās ietekmes izvērtējumu), nepieciešams attiecīgi precizēt minēto likumprojekta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aktu izstrādes rokasgrāmatā noteikto "Ārējo atsauci veido, norādot pilnu normatīvā akta nosaukumu un vienību </w:t>
            </w:r>
            <w:r w:rsidR="00000000" w:rsidRPr="00000000" w:rsidDel="00000000">
              <w:rPr>
                <w:u w:val="single"/>
                <w:rtl w:val="0"/>
              </w:rPr>
              <w:t xml:space="preserve">vai atsauci, kas formulēta vispārīgā formā, nenorādot konkrētu likuma nosaukumu (atsaucas uz regulējuma jomu). Atsauce uz regulējuma jomu ir ieteicama, ja nepieciešams atsaukties uz vairākiem normatīvajiem aktiem</w:t>
            </w:r>
            <w:r w:rsidR="00000000" w:rsidRPr="00000000" w:rsidDel="00000000">
              <w:rPr>
                <w:rtl w:val="0"/>
              </w:rPr>
              <w:t xml:space="preserve">, kā arī šāds atsauces veids nesaista, ja kāds no likumiem, uz kuru atsaucas, zaudētu spēku.", kas pieļauj veidot vispārīgās atsauces. Līdz ar to nav saprotams Tieslietu ministrijas pieprasītais precizējums.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aicinām Tieslietu ministriju skaidrot, kādu skaidrojumu un par kādiem iespējamiem nākotnes tiesību aktiem Ministrijai ir jānorāda anotācijai, jo Ministrija šobrīd nevar plānot, prognozēt vai paredzēt kādas citas ministrijas vai pašvaldības tiesību aktu izstrādi. Ministrija nenorāda un nekontrolē visu ministriju vai pašvaldību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un tā anotācija skaidri parāda, ka turpmāk jebkurai ministrijai vai pašvaldībai, kura izstrādā tiesību aktu nosacījumus par kādām atbalsta shēmām - definīcija ir iekļauta Direktīvā 2018/2001 un Enerģētikas likumā, ir jāņem vērā Enerģētikas likumā noteiktais kaskadēšanas princips. Ministrija neiekļaus atsauces uz kādiem iespējamiem nākotnes tiesību aktiem, kas, cita starpā, nav un nevar būt spēkā likumprojekta virzības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attiecīgos tiesību aktus jaunu atbalsta shēmu no biodegvielām, bioloģiskajiem šķidrajiem kurināmajiem un biomasas kurināmajiem vai biomasas degvielām ražotās enerģijas izmantošanai nosacījumu noteikšanai, minētās atbalsta shēmas izstrādā tā, lai nestimulētu neilgtspējīgus ražošanas un izmantošanas paņēmienus un nekropļotu konkurenci ar materiālu nozarēm, lai nodrošinātu, ka meža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minētos atbalsta shēmu nosacījumus, var tajos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kas ir lielāka nekā enerģijas ražošanai,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nozares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attiecīgā tiesību akta par atbalsta shēmu sākotnējās ietekmes novērtējuma ziņojumā (anotācijā) izskaidro, kā un kāpēc tiek piemērotas šā panta septītajā daļā minētās atkāpes kaskadēšanas principa piemērošanas secībai, un pēc konkrētā tiesību akta spēkā stāšanos par to informē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rūpniecisko apaļo kokmateriālu - zāģbaļķi, finierkluči, papīrmalka (apaļkoku vai šķeltā veidā), kā arī citi apaļkoki, izmantošanai enerģijas ražošanai, izņemot apaļkokus, kuru īpatnības, piemēram, suga, izmēri, taisnums un zarainums, tos dara nederīgus rūpnieciskai izmantošanai, tostarp, kuri neatbilst visu sugu zāģbaļķu, finierkluču, stabu, mietu, būvbaļķu un taras kluču kvalitātes kritērijiem, kas ir noteikti normatīvajos aktos par koku un apaļo kokmateriālu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panta vienpadsmitā daļa netiek attiecināta uz elektroenerģijas ražošanu no meža biomasas, ja tā atbilst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 gada 24. jūlija regulas 2021/1056/ES,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 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Iestādes, izstrādājot attiecīgos tiesību aktus jaunu atbalsta programmu noteikšanai, minēto atbalsta programmu nosacījumos neiekļauj finansiālo atbalstu individuālo siltumapgādes sistēmu vai apkures iekārtu, kurā tiek izmantots tikai fosilās izcelsmes kurināmais, iegādei un uzstādīšanai."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atbalsta shēmas no biodegvielām, bioloģiskajiem šķidrajiem kurināmajiem un biomasas kurināmajiem vai biomasas degvielām ražotās enerģijas izmantošanai, minētās atbalsta shēmas izstrādā tā, lai nestimulētu neilgtspējīgus ražošanas un izmantošanas paņēmienus un nekropļotu konkurenci ar materiālu nozarēm, lai nodrošinātu, ka koksnes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minētās atbalsta shēmas, var pieņemt lēmumu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 vai kopšanas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šā panta septītajā daļā minēto lēmumu izskaidro attiecīgā normatīvā regulējuma par atbalsta shēmu anotācijā un informāciju par to pēc atbalsta shēmas normatīvā regulējuma apstiprināšanas iesniedz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rūpniecisko apaļkoku,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 izņemot, ja šāda elektroenerģijas ražošana neatbilst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2021.gada 24.jūlija regulas (ES) 2021/1056,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izvērstāk pamatot izņēmuma noteikšanu attiecībā uz meža biomasas izejvielām, kas iegūtas no lauksaimniecībā izmantotajām zemēm un krūmājiem. Paužam bažas, ka minētais izņēmums, paredzot atsevišķu izejvielu grupu, varētu būt konstruēts pārāk plaši, salīdzinot ar direktīvas Nr. 2023/2413 1. pantā izteiktā Eiropas Parlamenta un Padomes 2018. gada 11. decembra Direktīvas (ES) 2018/2001 par no atjaunojamajiem energoresursiem iegūtas enerģijas izmantošanas veicināšanu (turpmāk - direktīva Nr. 2018/2001) 3. panta 3a. punkta apakšpunktos ietverto izņēmumu formulējumu. Tādēļ anotācijā nepieciešams pamatoti skaidrot, kuram no minētajiem direktīvas apakšpunktiem atbilst likumprojekta 5. pantā ietvertajā Enerģētikas likuma 58.</w:t>
            </w:r>
            <w:r w:rsidR="00000000" w:rsidRPr="00000000" w:rsidDel="00000000">
              <w:rPr>
                <w:vertAlign w:val="superscript"/>
                <w:rtl w:val="0"/>
              </w:rPr>
              <w:t xml:space="preserve">11</w:t>
            </w:r>
            <w:r w:rsidR="00000000" w:rsidRPr="00000000" w:rsidDel="00000000">
              <w:rPr>
                <w:rtl w:val="0"/>
              </w:rPr>
              <w:t xml:space="preserve"> panta septītās daļas "d" apakšpunktā paredzētais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minētais skaidrojums jau ir iekļauts anotācijā "</w:t>
            </w:r>
            <w:r w:rsidR="00000000" w:rsidRPr="00000000" w:rsidDel="00000000">
              <w:rPr>
                <w:i w:val="1"/>
                <w:rtl w:val="0"/>
              </w:rPr>
              <w:t xml:space="preserve">Ņemot vērā, ka Direktīva 2023/2413 noteic, ka "Dalībvalstis no minētā principa var atkāpties arī tad, ja vietējā rūpniecība kvantitatīvi vai tehniski nespēj izmantot meža biomasu atbilstoši ekonomiskajai un vidiskajai pievienotajai vērtībai, kas ir lielāka nekā enerģijas ražošanai", tad Latvija likumprojektā noteic arī, ka kaskadēšanas principa piemērošanas izņēmums ir arī attiecībā uz meža biomasas izejvielas, kas iegūtas no lauksaimniecībā izmantotajām zemēm un krūmājiem, jo kaskadēšanas principus nebūtu ekonomiski pamatoti ievērot arī gadījumos, kad vērīgo sortimentu ražošana nav lietderīga un ekonomiski pamatota, piemēram, lauksaimniecības zemju atbrīvošana no apauguma.</w:t>
            </w:r>
            <w:r w:rsidR="00000000" w:rsidRPr="00000000" w:rsidDel="00000000">
              <w:rPr>
                <w:i w:val="1"/>
                <w:rtl w:val="0"/>
              </w:rPr>
              <w:t xml:space="preserve">Likumprojektā ir noteikts, ka atbalsta programmu izstrādātājiem, kas izvēlas piemērot iepriekšminētās atkāpes, par to ir jāpaziņo Klimata un enerģētikas ministrijai, kas savukārt šo apkopoto informāciju iesniegtu Eiropas Komisijā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Izņēmumu papildināšana ar "krūmājiem" jau paredz, ka šī nav tāda meža biomasa, kas būtu izmantojama atbilstoši ekonomiskajai un vidiskajai pievienotajai vērtībai, t.i. šādai biomasai nav piemērojami kaskadēšanas principa 1.-4.punkts.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iekļautais skaidrojums ir nedaudz papildināts. Vienlaikus norādām, ka minētais ierosinājums ir nozares pārstāvju - as "Latvijas valsts meži" iesniegtais ierosinājums, un Ministrijai ir pamats uzskatīt, ka nozares pārstāvji pārzina nozari šajā jautājumā.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attiecīgos tiesību aktus jaunu atbalsta shēmu no biodegvielām, bioloģiskajiem šķidrajiem kurināmajiem un biomasas kurināmajiem vai biomasas degvielām ražotās enerģijas izmantošanai nosacījumu noteikšanai, minētās atbalsta shēmas izstrādā tā, lai nestimulētu neilgtspējīgus ražošanas un izmantošanas paņēmienus un nekropļotu konkurenci ar materiālu nozarēm, lai nodrošinātu, ka meža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minētos atbalsta shēmu nosacījumus, var tajos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kas ir lielāka nekā enerģijas ražošanai,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nozares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attiecīgā tiesību akta par atbalsta shēmu sākotnējās ietekmes novērtējuma ziņojumā (anotācijā) izskaidro, kā un kāpēc tiek piemērotas šā panta septītajā daļā minētās atkāpes kaskadēšanas principa piemērošanas secībai, un pēc konkrētā tiesību akta spēkā stāšanos par to informē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rūpniecisko apaļo kokmateriālu - zāģbaļķi, finierkluči, papīrmalka (apaļkoku vai šķeltā veidā), kā arī citi apaļkoki, izmantošanai enerģijas ražošanai, izņemot apaļkokus, kuru īpatnības, piemēram, suga, izmēri, taisnums un zarainums, tos dara nederīgus rūpnieciskai izmantošanai, tostarp, kuri neatbilst visu sugu zāģbaļķu, finierkluču, stabu, mietu, būvbaļķu un taras kluču kvalitātes kritērijiem, kas ir noteikti normatīvajos aktos par koku un apaļo kokmateriālu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panta vienpadsmitā daļa netiek attiecināta uz elektroenerģijas ražošanu no meža biomasas, ja tā atbilst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 gada 24. jūlija regulas 2021/1056/ES,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 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Iestādes, izstrādājot attiecīgos tiesību aktus jaunu atbalsta programmu noteikšanai, minēto atbalsta programmu nosacījumos neiekļauj finansiālo atbalstu individuālo siltumapgādes sistēmu vai apkures iekārtu, kurā tiek izmantots tikai fosilās izcelsmes kurināmais, iegādei un uzstādīšanai."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atbalsta shēmas no biodegvielām, bioloģiskajiem šķidrajiem kurināmajiem un biomasas kurināmajiem vai biomasas degvielām ražotās enerģijas izmantošanai, minētās atbalsta shēmas izstrādā tā, lai nestimulētu neilgtspējīgus ražošanas un izmantošanas paņēmienus un nekropļotu konkurenci ar materiālu nozarēm, lai nodrošinātu, ka koksnes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minētās atbalsta shēmas, var pieņemt lēmumu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 vai kopšanas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šā panta septītajā daļā minēto lēmumu izskaidro attiecīgā normatīvā regulējuma par atbalsta shēmu anotācijā un informāciju par to pēc atbalsta shēmas normatīvā regulējuma apstiprināšanas iesniedz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rūpniecisko apaļkoku,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 izņemot, ja šāda elektroenerģijas ražošana neatbilst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2021.gada 24.jūlija regulas (ES) 2021/1056,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likumprojekta 5. pantā ietverto Enerģētikas likuma 58.</w:t>
            </w:r>
            <w:r w:rsidR="00000000" w:rsidRPr="00000000" w:rsidDel="00000000">
              <w:rPr>
                <w:vertAlign w:val="superscript"/>
                <w:rtl w:val="0"/>
              </w:rPr>
              <w:t xml:space="preserve">11</w:t>
            </w:r>
            <w:r w:rsidR="00000000" w:rsidRPr="00000000" w:rsidDel="00000000">
              <w:rPr>
                <w:rtl w:val="0"/>
              </w:rPr>
              <w:t xml:space="preserve"> panta septīto daļu ar norādi "kas ir lielāka nekā enerģijas ražošanai" atbilstoši direktīvas Nr. 2023/2413 1. pantā ietvertā direktīvas Nr. 2018/2001 3. panta 3.a punktam vai skaidrot likumprojekta anotācijā, kādēļ tas nav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attiecīgos tiesību aktus jaunu atbalsta shēmu no biodegvielām, bioloģiskajiem šķidrajiem kurināmajiem un biomasas kurināmajiem vai biomasas degvielām ražotās enerģijas izmantošanai nosacījumu noteikšanai, minētās atbalsta shēmas izstrādā tā, lai nestimulētu neilgtspējīgus ražošanas un izmantošanas paņēmienus un nekropļotu konkurenci ar materiālu nozarēm, lai nodrošinātu, ka meža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minētos atbalsta shēmu nosacījumus, var tajos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kas ir lielāka nekā enerģijas ražošanai,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nozares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attiecīgā tiesību akta par atbalsta shēmu sākotnējās ietekmes novērtējuma ziņojumā (anotācijā) izskaidro, kā un kāpēc tiek piemērotas šā panta septītajā daļā minētās atkāpes kaskadēšanas principa piemērošanas secībai, un pēc konkrētā tiesību akta spēkā stāšanos par to informē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rūpniecisko apaļo kokmateriālu - zāģbaļķi, finierkluči, papīrmalka (apaļkoku vai šķeltā veidā), kā arī citi apaļkoki, izmantošanai enerģijas ražošanai, izņemot apaļkokus, kuru īpatnības, piemēram, suga, izmēri, taisnums un zarainums, tos dara nederīgus rūpnieciskai izmantošanai, tostarp, kuri neatbilst visu sugu zāģbaļķu, finierkluču, stabu, mietu, būvbaļķu un taras kluču kvalitātes kritērijiem, kas ir noteikti normatīvajos aktos par koku un apaļo kokmateriālu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panta vienpadsmitā daļa netiek attiecināta uz elektroenerģijas ražošanu no meža biomasas, ja tā atbilst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 gada 24. jūlija regulas 2021/1056/ES,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 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Iestādes, izstrādājot attiecīgos tiesību aktus jaunu atbalsta programmu noteikšanai, minēto atbalsta programmu nosacījumos neiekļauj finansiālo atbalstu individuālo siltumapgādes sistēmu vai apkures iekārtu, kurā tiek izmantots tikai fosilās izcelsmes kurināmais, iegādei un uzstādīšanai."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Vienotais kontaktpunkts savā tīmekļvietnē publicē dzīvojamo māju vai dzīvokļu īpašniekiem vai īrniekiem, māju apsaimniekotājiem, no atjaunīgiem energoresursiem iegūtas enerģijas pašpatērētājiem un atjaunīgās enerģijas kopienām informāciju par izmaksu efektīviem pasākumiem un pieejamiem finansēšanas instrumentiem atjaunīgās enerģijas izmantošanas siltumapgādes un aukstumapgādes sistēmās paaugstināšanai.".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anotācijā, kā paredzēts izpildīt direktīvas Nr. 2023/2413 1. pantā izteiktā direktīvas Nr. 2018/2001 23. panta 2. punkta ceturtās daļas prasību, ka dalībvalstis informāciju sniedz ar pieejamiem un pārredzamiem konsultāciju rīkiem. Nepieciešamības gadījumā lūdzam atbilstoši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ir precizēts un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atjaunīgos energoresursus, no kuriem gāze iegūta, un tās ražošanas sākuma un beigu datumu, kurus var precizēt stundas vai biežākā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5.4. sadaļas 1. tabulā pamatot tā 7. panta atbilstību direktīvas Nr. 2023/2413 1. pantā izteiktajam direktīvas Nr. 2018/2001 19. panta 7. punkta "a" apakšpunkta "ii" apakšpunktam, nepieciešamības gadījumā precizējot likumprojektu. Norādām, ka minētā direktīvas vienība paredz, ka izcelsmes apliecinājumā obligāti precizē energoresursu, no kura enerģija iegūta, un ražošanas sākuma un beigu datumus, kurus var precizēt  atjaunojamajai elektroenerģijai saskaņā ar Regulas (ES) 2019/943 2. panta "15" punktā definēto “nebalansa norēķinu periodu”, kas atbilstoši minētajai regulai ir attiecīgi 15 minūtes un 30 minūtes (sākot ar 2025.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Enerģētikas likums </w:t>
            </w:r>
            <w:r w:rsidR="00000000" w:rsidRPr="00000000" w:rsidDel="00000000">
              <w:rPr>
                <w:b w:val="1"/>
                <w:rtl w:val="0"/>
              </w:rPr>
              <w:t xml:space="preserve">neatrunā</w:t>
            </w:r>
            <w:r w:rsidR="00000000" w:rsidRPr="00000000" w:rsidDel="00000000">
              <w:rPr>
                <w:rtl w:val="0"/>
              </w:rPr>
              <w:t xml:space="preserve"> izcelsmes apliecinājumus elektroenerģijai, tie ir noteikti Elektroenerģijas tirgus likumā. Tāpēc likumprojektā netiks iekļauti Direktīvas 2018/2001 19.panta 7.punkta a) apakšpunkta ii) apakšapakšpunkta nosacījumi, jo tie neattiecas uz "XV1 nodaļa Gāzes izcelsmes apliecinājums gāzes ražotājam, kas ražo biogāzi, biometānu vai sintēzes gāzi no atjaunīgajiem energoresursiem", bet attiecas uz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8.pants transponē Direktīvas 2018/2001 19.panta 7,punkta a) apakšpunkta ii) apakšapakšpunktu.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iebilduma būtība bija norādīt, ka likumprojekta anotācijas 5.sadaļas rindā "1.panta 9) punkta c) apakšpunktā izteiktais Direktīvas 2018/2001 19.panta 7.punkta a) apakšpunkta ii) apakšapakšpunkts" ir nekorekti norādīta Direktīvas 2018/2001 sadaļa, tad šī rinda ir attiecīgi likumprojekta anotācijas 5.punktā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atjaunīgos energoresursus, no kuriem gāze iegūta, un tās ražošanas sākuma un beigu datumu, kurus var precizēt stundas vai biežākā intervālā;".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iebilst pret likumprojektā piedāvāto Enerģētikas likuma 117</w:t>
            </w:r>
            <w:r w:rsidR="00000000" w:rsidRPr="00000000" w:rsidDel="00000000">
              <w:rPr>
                <w:vertAlign w:val="superscript"/>
                <w:rtl w:val="0"/>
              </w:rPr>
              <w:t xml:space="preserve">5</w:t>
            </w:r>
            <w:r w:rsidR="00000000" w:rsidRPr="00000000" w:rsidDel="00000000">
              <w:rPr>
                <w:rtl w:val="0"/>
              </w:rPr>
              <w:t xml:space="preserve">. panta ceturtās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11. augustā spēkā stājās grozījumi Enerģētikas likumā uzliekot akciju sabiedrībai “Conexus Baltic Grid” pienākumu nodrošināt izcelsmes apliecinājumu sistēmas ieviešanu (oficiālās publikācijas “Latvijas Vēstnesī” Nr. OP 2022/144.4). Līdz ar jauno deleģējumu, Enerģētikas likuma anotācijā tika ietverti nosacījumi, ka izcelsmes apliecinājumu reģistra ieviešanai jeb IT sistēmas izveidei ir plānots atbalsts līdz 200 000 EUR, anotācijā norādot, ka “finansējuma saņēmējs dāvinājuma formā paredzēts “AS Conexus Baltic Grid””. Vienlaikus, veicot faktisku izcelsmes apliecinājumu sistēmas ieviešanu akciju sabiedrība “Conexus Baltic Grid”  konstatēja, ka izcelsmes apliecinājumu reģistra iegāde veicama kā sistēmas izmantošanas pakalpojums, līdz ar ko jauna akciju sabiedrības “Conexus Baltic Grid”  īpašumā esoša IT sistēma netika izveidota un attiecīgais līdzfinansējums netika pieprasīts. Tā vietā akciju sabiedrība “Conexus Baltic Grid”  maksā ikmēneša reģistra izmantošanas maksu, kurai valsts atbalsts netika paredzēts un kas ir jāsedz ar reģistra lietotāju maksājumiem. Vienlaikus, līgumam beidzoties akciju sabiedrībai “Conexus Baltic Grid”  būs pienākums organizēt atkārtotu iepirkuma procedūru, kuras rezultātā zemāko cenu var piedāvāt arī pakalpojuma sniedzējs, kas ieviesīs sistēmu no jauna un, ņemot vērā gauso reģistra lietotāja skaita pieaugumu, nepieciešamība pēc valsts līdzfinansējuma šādā gadījumā būs būtiska. Papildus iepriekš minētajam, akciju sabiedrība “Conexus Baltic Grid” norāda, ka izmaksas saistībā ar izcelsmes apliecinājumu izdevējiestādes pienākumu veikšanu periodiski, pieaug, piemēram – lai veiktu uzlabojumus saistībā ar Eiropas Savienības bioloģiskas izcelsmes degvielu datubāzes jeb UDB attīstību un kas arī būtu jāattiecina uz izcelsmes apliecinājumu reģistra lietotājiem, taču to mazā skaita dēļ jau esošo un papildu izmaksu atgūšanas laiks nav prognozējams.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“Conexus Baltic Grid”  ieskatā izcelsmes apliecinājumu sistēmas darbībai ir jābūt izmaksu neitrālai un tā nedrīkst radīt nedz peļņu, nedz nesegtus izdevumus. Līdzīgi kā jau nostiprināts 2014. gada 26. marta Eiropas Komisijas regulas Nr. 312/2014 ar ko izveido tīkla kodeksu gāzes balansēšanai pārvades tīklos (Balansēšanas tīkla kodekss)29. panta pirmajā daļā. kur noteikts pārvades sistēmas operatora neitralitātes princips. Minētais punkts noteic, ka pārvades sistēmas operators “(...) nezaudē, veicot maksājumus un saņemot dienas nebalansa maksas, tekošās dienas maksas, balansēšanas darbību maksas un citas maksas, kas saistītas ar balansēšanas darbībām, par kurām uzskatāmas darbības, ko pārvades sistēmas operators veic, lai pildītu Regulā Nr. 312/2014 noteiktos pienākumus”. Līdz ar to arī izcelsmes apliecinājuma reģistra ieviešanai un uzturēšanai nevajadzētu radīt ne ieguvumus, ne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norāda, ka Enerģētikas likuma normās noteiktais gāzes izcelsmes apliecinājumu sistēmas finansēšanas modelis nav skaidri saprotams un piemērojams, kā arī norāda, ka grozītā Enerģētikas likuma 117</w:t>
            </w:r>
            <w:r w:rsidR="00000000" w:rsidRPr="00000000" w:rsidDel="00000000">
              <w:rPr>
                <w:vertAlign w:val="superscript"/>
                <w:rtl w:val="0"/>
              </w:rPr>
              <w:t xml:space="preserve">5</w:t>
            </w:r>
            <w:r w:rsidR="00000000" w:rsidRPr="00000000" w:rsidDel="00000000">
              <w:rPr>
                <w:rtl w:val="0"/>
              </w:rPr>
              <w:t xml:space="preserve">. panta ceturtā daļa, kas papildināta ar nosacījumu, ka “iekārtām, kuru jauda ir mazāka par 50 kilovatiem (kW) un atjaunīgās enerģijas kopienām tiek pieprasīta samazināta maksa salīdzinot ar pārējām iekārtām piemēroto maksu” nav korekts, jo gāzes izcelsmes apliecinājumu reģistra izmantošanas maksa ir piesaistīta reģistra lietotājam, kas reģistrējas par gāzes izcelsmes apliecinājumu reģistra lietotāju un veic tajā darbības ar izcelsmes apliecinājumiem, nevis gāzes ražošanas iekārtām. Akciju sabiedrība “Conexus Baltic Grid” vērš ministrijas uzmanību uz apstākli, ka izcelsmes apliecinājumu reģistru lieto ne vien enerģijas ražotāji, bet arī tirgotāji un galalietotāji, kuriem nav ražošanas iekārtu. Lielu daļu no maksas par gāzes izcelsmes apliecinājumu reģistra izmantošanu noteic reģistra pakalpojuma sniedzējs un izcelsmes apliecinājumu izdevējiestāžu asociācija “AIB”, tādejādi ar likumu piešķirot īpašu priekšrocību, proti, atlaidi likumprojektā minētajām pusēm, tiktu radīta sistēma, kur daļa no vienlīdzīgas maksas par gāzes izcelsmes apliecinājumu reģistra izmantošanu Eiropas Enerģijas sertifikātu jeb EECS sistēmas ietvaros tiktu pārnesta no vieniem reģistra lietotājiem uz citiem, attiecīgi palielinot to transakciju izmaksas reģistrā. Papildus iepriekš minētajam, akciju sabiedrība “Conexus Baltic Grid” vērš ministrijas uzmanību uz apstākli, ka tai nav skaidrs, kādas biometāna ražotnes Latvijā varētu attīstīties ar tik mazu jaudu kā līdz 50 kW un ar vēlmi saņemt izcelsmes apliecinājumus par sistēmā ievadīto gāzi, attiecīgi akciju sabiedrības “Conexus Baltic Grid” ieskatā šāda norma likumprojektā nav lietderīga vai nepieciešamības gadījumā būtu iekļaujama tikai Elektroenerģijas tirgus nevis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Gāzes izcelsmes apliecinājumu elektroniskās sistēmas ieviešanas un ar uzturēšanu saistītās izmaksas sedz vienotais dabasgāzes pārvades un uzglabāšanas sistēmas operators un tās iekļauj dabasgāzes pārvades sistēmas pakalpojumu tarifos. Vienotais dabasgāzes pārvades un uzglabāšanas sistēmas operators ar izcelsmes apliecinājuma izdošanu un citām ar izcelsmes apliecinājumu reģistra darbībām saistīto izmaksu kompensēšanai, var pieprasīt maksu, kuras aprēķināšanas kārtību tas izstrādā un publicē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paredz saglabāt esošo redakciju, to sadalot divās daļās un iekļaut papildu nosacījumu par  samazinātas maksas piemērošanu iekārtām, kuru jauda ir mazāka par 50 kilovatiem (kW) un atjaunīgās enerģijas kopienām.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attiecīgā norma Likumprojektā ir ietverta, balstoties uz Eiropas Parlamenta un Padomes Direktīvā (ES) 2023/2413 (2023. gada 18. oktobris), ar ko attiecībā uz atjaunīgo energoresursu enerģijas izmantošanas veicināšanu groza Direktīvu (ES) 2018/2001, Regulu (ES) 2018/1999 un Direktīvu 98/70/EK un atceļ Padomes Direktīvu (ES) 2015/652 ietvertajiem nosacījumiem, kas ir jāpārņem nacionāla līmeņa likumdošanā.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norādītajām bažām par tādu ražotāju neesamību, kuru uzstādītā jauda varētu būt mazāka par 50 kW, norādām, ka minētajām direktīvā ietvertās normas ir jāskata kopsakarā ar Eiropas Parlamenta apstiprināto gāzes pakotni, kas paredz dalībvalstīm pienākumu nacionāla līmeņa likumdošanā ietvert normas, kas ir attiecināmas uz aktīvā lietotāja darbību dabasgāzes tirgū. Ministrijas ieskatā minētajā direktīvā ietverts pienākums noteikt samazinātu reģistra izmantošanas maksu noteiktam lietotāju skaitam varētu būt skatāms sinerģijā tieši ar aktīvā lietotāja darbību dabasgāzes tirgū, ar ko saistīto normu tarnsponēšanas priekšlikumu 2025.gada laikā izstrādās un apspriešanai virzīs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kompensētu ar gāzes izcelsmes apliecinājuma izsniegšanu un elektroniskās sistēmas uzturēšanu saistītās mainīgās izmaksas, vienotais dabasgāzes pārvades un uzglabāšanas sistēmas operators par gāzes izcelsmes apliecinājuma izsniegšanu pieprasa maksu. Iekārtām, kuru jauda ir mazāka par 50 kilovatiem (kW) un atjaunīgās enerģijas kopienām tiek pieprasīta samazināta maksa salīdzinot ar pārējām iekārtām piemēroto maksu. Vienotais dabasgāzes pārvades un uzglabāšanas sistēmas operators izstrādā un publicē savā tīmekļvietnē maksas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tiesiskās noteiktības nolūkā likumprojekta 8. pantā skaidrot, kādā apmērā maksa uzskatāma par samazinātu maksu. Paužam bažas, ka pretējā gadījumā attiecīgā likumprojekta prasība varētu tikt izpildīta formāli. Kā arī lūdzam skaidrot, kā paredzēts pārņemt direktīvas Nr. 2023/2413 1.panta 9. punkta "a" apakšpunkta "ii" apakšpunktā izteiktā direktīvas Nr. 2018/2001 19. panta 2. punkta trešajā daļā ietverto prasību </w:t>
            </w:r>
            <w:r w:rsidR="00000000" w:rsidRPr="00000000" w:rsidDel="00000000">
              <w:rPr>
                <w:u w:val="single"/>
                <w:rtl w:val="0"/>
              </w:rPr>
              <w:t xml:space="preserve">ieviest vienkāršotus reģistrācijas procesus</w:t>
            </w:r>
            <w:r w:rsidR="00000000" w:rsidRPr="00000000" w:rsidDel="00000000">
              <w:rPr>
                <w:rtl w:val="0"/>
              </w:rPr>
              <w:t xml:space="preserve">, līdztekus samazinātai reģistrācijas maksai, nepieciešamības gadījumā papildinot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58.</w:t>
            </w:r>
            <w:r w:rsidR="00000000" w:rsidRPr="00000000" w:rsidDel="00000000">
              <w:rPr>
                <w:vertAlign w:val="superscript"/>
                <w:rtl w:val="0"/>
              </w:rPr>
              <w:t xml:space="preserve">11</w:t>
            </w:r>
            <w:r w:rsidR="00000000" w:rsidRPr="00000000" w:rsidDel="00000000">
              <w:rPr>
                <w:rtl w:val="0"/>
              </w:rPr>
              <w:t xml:space="preserve"> pantu ar jaunu sesto, septīto, astoto, devīto, desmito, vienpadsmito, divpadsmito un trīspadsmito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58.</w:t>
            </w:r>
            <w:r w:rsidR="00000000" w:rsidRPr="00000000" w:rsidDel="00000000">
              <w:rPr>
                <w:vertAlign w:val="superscript"/>
                <w:rtl w:val="0"/>
              </w:rPr>
              <w:t xml:space="preserve">11</w:t>
            </w:r>
            <w:r w:rsidR="00000000" w:rsidRPr="00000000" w:rsidDel="00000000">
              <w:rPr>
                <w:rtl w:val="0"/>
              </w:rPr>
              <w:t xml:space="preserve"> panta 10. daļā noteikto atbalsta shēmas radīšanas iespēju atkritumu reģenerācijai enerģijas iegūšanai arī gadījumos, ja netiek izpildīti normatīvajos aktos par atkritumu apsaimniekošanu noteiktie dalītās savākšanas pienākumi. Šāda nosacījuma izveide nākotnē potenciāli var radīt negatīvu efektu, kavējot centienus uzlabot atkritumu dalīto savākšanu un pārstrādi. Atkritumu reģenerācija enerģijas ieguvei novirza pārstrādājamos atkritumus no pārstrādes, ko apliecina statistikas dati no citām ES dalībvalstīm (valstīs ar augstākiem atkritumu reģenerācijas apmēriem ir relatīvi zemāki atkritumu pārstrādes rādītāji). Turklāt atkritumu reģenerācija situācijās, kad netiek izpildītas noteiktās dalītās savākšanas/ pārstrādes prasības, neatceļ pienākumu šīs prasības izpildīt, tādēļ šis nosacījums/izņēmuma gadījums nav pamatots, jo nerisina atkritumu apsaimniekošanas izaicinājumus.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likumprojektā iekļautā redakcija atbilst Direktīvas 2018/2001 redakcijai un netiek plānots noteikt stingrākas prasības kā minēts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šāda nosacījuma iekļaušana likumā automātiski nenozīmē, ka nākotnē tiks piešķirts valsts atbalsts atkritumu reģenerācijas iekārtām vai atkritumu reģenerācijas darbībām tad, kad Latvijā tiktu izpildīti dalītās savākšanas pienākumi. Šādu atbalstu Ministrija šobrīd neplāno, un to neparedz arī Aktualizētais Nacionālais enerģētikas un klimata plāns 2021.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58.</w:t>
            </w:r>
            <w:r w:rsidR="00000000" w:rsidRPr="00000000" w:rsidDel="00000000">
              <w:rPr>
                <w:vertAlign w:val="superscript"/>
                <w:rtl w:val="0"/>
              </w:rPr>
              <w:t xml:space="preserve">11</w:t>
            </w:r>
            <w:r w:rsidR="00000000" w:rsidRPr="00000000" w:rsidDel="00000000">
              <w:rPr>
                <w:rtl w:val="0"/>
              </w:rPr>
              <w:t xml:space="preserve"> pantu ar jaunu sesto, septīto, astoto, devīto, desmito, vienpadsmito, divpadsmito un trīspadsmito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117.</w:t>
            </w:r>
            <w:r w:rsidR="00000000" w:rsidRPr="00000000" w:rsidDel="00000000">
              <w:rPr>
                <w:vertAlign w:val="superscript"/>
                <w:rtl w:val="0"/>
              </w:rPr>
              <w:t xml:space="preserve">8</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iebilst pret tai ar likumprojektu noteiktajiem papildu pienākumiem, vienlaikus norādot, ka nav saprotams, kas tieši ir domāts ar likumprojekta 117</w:t>
            </w:r>
            <w:r w:rsidR="00000000" w:rsidRPr="00000000" w:rsidDel="00000000">
              <w:rPr>
                <w:vertAlign w:val="superscript"/>
                <w:rtl w:val="0"/>
              </w:rPr>
              <w:t xml:space="preserve">8</w:t>
            </w:r>
            <w:r w:rsidR="00000000" w:rsidRPr="00000000" w:rsidDel="00000000">
              <w:rPr>
                <w:rtl w:val="0"/>
              </w:rPr>
              <w:t xml:space="preserve">. panta pirmajā daļā noteikto, tostarp, jo Eiropas Enerģijas izcelsmes apliecinājumu sistēmas jeb EECS ietvaros šobrīd nav noteikta gāzes jomas neapliecinātas enerģijas sastāva noteikšana. Saskaņā ar Enerģētikas likuma noteikumiem, akciju sabiedrība “Conexus Baltic Grid” veic gāzes izcelsmes apliecinājumu izdošanu [AA1] un attiecīgi tās rīcībā ir tikai informācija par Latvijas nacionālajā dabasgāzes ieejas-izejas sistēmā ievadīto biometānu un tā avotiem, ja ražotājs vai atbilstošais tirgus dalībnieks ir noteiktā kārtībā pieprasījis saņemt izcelsmes apliecinājumus. Akciju sabiedrības “Conexus Baltic Grid” rīcībā nav objektīvas informācijas par “atlikušās energoresursu struktūras” - Latvijas kopējo gada energoresursu struktūru”. Normatīvie [FB2]  akti neapredz akciju sabiedrības “Conexus Baltic Grid” pienākumu nodrošināt nacionāla līmeņa statistikas datu iegūšanu, apstrādi, analīzi un izplatīšanu. Šādas – valsts statistikas datu veidošanas – funkcijas Latvijā ir uzticētas valsts pārvaldes iestādei un nav vienotā dabasgāzes pārvades un uzglabāšanas sistēmas operatora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akciju sabiedrība “Conexus Baltic Grid” savas kompetences ietvaros ir gatava sniegt nepieciešamo informāciju valsts izvēlētajai institūcijai par pārvadītās vai uzglabātās dabasgāzes apjomu un izsniegtajiem, kā arī izlietotajiem vai eksportētajiem atjaunīgās gāzes izcelsmes apliecinājumiem.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akciju sabiedrība “Conexus Baltic Grid” nevar piekrist grozītajā Enerģētikas likuma 1178. pantā paredzētajiem pienākumiem. Vienlaikus, akciju sabiedrība “Conexus Baltic Grid” vērš ministrijas uzdevumu uz apstākli, ka ieviešot šādas normas nacionālajā regulējumā, attiecīgi papildus ir nepieciešams skaidrot, kas regulējuma izpratnē ir “neapliecinātās enerģijas izcelsmes sastāvs”, kāda loma ir elektroenerģijai un citai enerģijai.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attiecīgos tiesību aktus jaunu atbalsta shēmu no biodegvielām, bioloģiskajiem šķidrajiem kurināmajiem un biomasas kurināmajiem vai biomasas degvielām ražotās enerģijas izmantošanai nosacījumu noteikšanai, minētās atbalsta shēmas izstrādā tā, lai nestimulētu neilgtspējīgus ražošanas un izmantošanas paņēmienus un nekropļotu konkurenci ar materiālu nozarēm, lai nodrošinātu, ka meža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minētos atbalsta shēmu nosacījumus, var tajos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kas ir lielāka nekā enerģijas ražošanai,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nozares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attiecīgā tiesību akta par atbalsta shēmu sākotnējās ietekmes novērtējuma ziņojumā (anotācijā) izskaidro, kā un kāpēc tiek piemērotas šā panta septītajā daļā minētās atkāpes kaskadēšanas principa piemērošanas secībai, un pēc konkrētā tiesību akta spēkā stāšanos par to informē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rūpniecisko apaļo kokmateriālu, kas atbilst visu sugu zāģbaļķu, finierkluču, stabu, mietu, būvbaļķu un taras kluču kvalitātes kritērijiem, kas ir noteikti apaļo kokmateriālu kvalitātes standartā,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panta vienpadsmitā daļa netiek attiecināta uz elektroenerģijas ražošanu no meža biomasas, ja tā atbilst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2021.gada 24.jūlija regulas (ES) 2021/1056,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Iestādes, izstrādājot attiecīgos tiesību aktus jaunu atbalsta programmu noteikšanai, minēto atbalsta programmu nosacījumos neiekļauj finansiālo atbalstu individuālo siltumapgādes sistēmu (apkures katlu), kurā tiek izmantots tikai fosilās izcelsmes kurināmais, iegādei un uzstādīšanai."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4. punktā minēto, ja likumprojekta 9. pantā tiek izdarīta netieša atsauce uz standartiem, tad lūdzam tiesiskās noteiktības nolūkā pārformulēt minēto atsauci un papildināt atbilstoši direktīvā noteiktajam, piemēram, paredzot izņēmumu attiecībā uz apaļkokiem, kuru īpatnības tos dara nederīgus rūpnieciskai izmantošanai, tostarp (respektīvi, kā piemēru norādot uz) apaļkokiem, kuri neatbilst visu sugu zāģbaļķu, finierkluču, stabu, mietu, būvbaļķu un taras kluču kvalitātes kritērijiem, kas ir noteikti piemērojamos apaļo kokmateriālu kvalitātes standartos. Norādām, ka pretējā gadījumā likuma prasību izpildei standartu piemērošana ir obligāta, jo atbalsta shēmas nosacījumos nevar paredzēt atbalstu rūpniecisko apaļo kokmateriālu, </w:t>
            </w:r>
            <w:r w:rsidR="00000000" w:rsidRPr="00000000" w:rsidDel="00000000">
              <w:rPr>
                <w:u w:val="single"/>
                <w:rtl w:val="0"/>
              </w:rPr>
              <w:t xml:space="preserve">kas atbilst</w:t>
            </w:r>
            <w:r w:rsidR="00000000" w:rsidRPr="00000000" w:rsidDel="00000000">
              <w:rPr>
                <w:rtl w:val="0"/>
              </w:rPr>
              <w:t xml:space="preserve"> standartos noteiktajiem kvalitātes kritērijiem, izmantošanai enerģijas ražošanai, līdz ar to pretēji izziņā minētajam minētajos nosacījumos pirmšķietami nevar tikt ietverti alternatīvi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rūpniecisko apaļo kokmateriālu, izņemot apaļkokus, kuru īpatnības, piemēram, suga, izmēri, taisnums un zarainums, tos dara nederīgus rūpnieciskai izmantošanai, tostarp, kuri neatbilst visu sugu zāģbaļķu, finierkluču, stabu, mietu, būvbaļķu un taras kluču kvalitātes kritērijiem, kas ir noteikti piemērojamos apaļo kokmateriālu kvalitātes standartos,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atkritumu reģenerācijai, ja vien nav izpildīti normatīvajos aktos par atkritumu apsaimniekošanu noteiktie dalītās savākšanas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attiecīgos tiesību aktus jaunu atbalsta shēmu no biodegvielām, bioloģiskajiem šķidrajiem kurināmajiem un biomasas kurināmajiem vai biomasas degvielām ražotās enerģijas izmantošanai nosacījumu noteikšanai, minētās atbalsta shēmas izstrādā tā, lai nestimulētu neilgtspējīgus ražošanas un izmantošanas paņēmienus un nekropļotu konkurenci ar materiālu nozarēm, lai nodrošinātu, ka meža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minētos atbalsta shēmu nosacījumus, var tajos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kas ir lielāka nekā enerģijas ražošanai,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nozares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attiecīgā tiesību akta par atbalsta shēmu sākotnējās ietekmes novērtējuma ziņojumā (anotācijā) izskaidro, kā un kāpēc tiek piemērotas šā panta septītajā daļā minētās atkāpes kaskadēšanas principa piemērošanas secībai, un pēc konkrētā tiesību akta spēkā stāšanos par to informē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rūpniecisko apaļo kokmateriālu - zāģbaļķi, finierkluči, papīrmalka (apaļkoku vai šķeltā veidā), kā arī citi apaļkoki, izmantošanai enerģijas ražošanai, izņemot apaļkokus, kuru īpatnības, piemēram, suga, izmēri, taisnums un zarainums, tos dara nederīgus rūpnieciskai izmantošanai, tostarp, kuri neatbilst visu sugu zāģbaļķu, finierkluču, stabu, mietu, būvbaļķu un taras kluču kvalitātes kritērijiem, kas ir noteikti normatīvajos aktos par koku un apaļo kokmateriālu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panta vienpadsmitā daļa netiek attiecināta uz elektroenerģijas ražošanu no meža biomasas, ja tā atbilst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 gada 24. jūlija regulas 2021/1056/ES,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 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Iestādes, izstrādājot attiecīgos tiesību aktus jaunu atbalsta programmu noteikšanai, minēto atbalsta programmu nosacījumos neiekļauj finansiālo atbalstu individuālo siltumapgādes sistēmu vai apkures iekārtu, kurā tiek izmantots tikai fosilās izcelsmes kurināmais, iegādei un uzstādīšanai."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- 03.12.2024.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 uztur iepriekš pausto iebildumu par likumprojekta 117.</w:t>
            </w:r>
            <w:r w:rsidR="00000000" w:rsidRPr="00000000" w:rsidDel="00000000">
              <w:rPr>
                <w:vertAlign w:val="superscript"/>
                <w:rtl w:val="0"/>
              </w:rPr>
              <w:t xml:space="preserve">5</w:t>
            </w:r>
            <w:r w:rsidR="00000000" w:rsidRPr="00000000" w:rsidDel="00000000">
              <w:rPr>
                <w:rtl w:val="0"/>
              </w:rPr>
              <w:t xml:space="preserve"> panta ceturtās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direktīvas (ES) 2018/2001 (2018. gada 11. decembris) par no atjaunojamajiem energoresursiem iegūtas enerģijas izmantošanas veicināšanu (pārstrādātas redakcijas) (turpmāk – RED III) 19. panta 2. punktā noteikts, ka dalībvalstis (…)Ievieš vienkāršotus reģistrācijas procesus un nosaka mazāku reģistrācijas maksu nelielām iekārtām, kuru jauda ir mazāka par 50 kW, un atjaunojamās enerģijas kopienām.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skaidrots iepriekšējā akciju sabiedrības “Conexus Baltic Grid” atzinumā, Latvijā ne par vienas biometāna ražošanas iekārtas reģistrāciju maksa netiek piemērota. Savukārt, šo RED III prasību attiecināšana uz maksu par izcelsmes apliecinājumu reģistra ir direktīvas tvēruma nepamatota paplašināšana, un nebūtu korekti pret pārējiem šī reģistra lietotājiem, tādējādi veidojot nacionāli stingrākas prasības nekā direktīva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gāzes izcelsmes apliecinājumu reģistra izmantošanas maksa ir piesaistīta reģistra lietotājam, kas reģistrējas par gāzes izcelsmes apliecinājumu reģistra lietotāju un veic tajā darbības ar izcelsmes apliecinājumiem, nevis gāzes ražošanas iekārtām. Izcelsmes apliecinājumu reģistru lieto ne vien enerģijas ražotāji, bet arī tirgotāji un galalietotāji, kuriem nav ražošanas iekārtu. Lielu daļu no maksas par gāzes izcelsmes apliecinājumu reģistra izmantošanu noteic reģistra pakalpojuma sniedzējs un izcelsmes apliecinājumu izdevējiestāžu asociācija “AIB”, tādejādi ar likumu piešķirot īpašu priekšrocību, proti, atlaidi likumprojektā minētajām pusēm, tiktu radīta sistēma, kur daļa no vienlīdzīgas maksas par gāzes izcelsmes apliecinājumu reģistra izmantošanu Eiropas Enerģijas sertifikātu jeb EECS sistēmas ietvaros tiktu pārnesta no vienas reģistra lietotāju grupas uz citu, attiecīgi palielinot to transakciju izmaksas reģistrā. Nav skaidrs, kādas biometāna ražotnes Latvijā varētu attīstīties ar tik mazu jaudu kā līdz 50 kW un ar vēlmi saņemt izcelsmes apliecinājumus par sistēmā ievadīto gāzi.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nabadzības skarta mājsaimniecība ir mājsaimniecība Energoapgādes izmaksu valsts atbalsta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šādu redakciju,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Enerģētikas likuma 120.pants nosaka, ka enerģētiskās nabadzības skarta mājsaimniecība ir mājsaimniecība Sociālo pakalpojumu un sociālās palīdzības likuma izpratnē jeb mājsaimniecība, kas atbilst trūcīgas vai maznodrošinātas mājsaimniecības statusam, kā arī tā īrē pašvaldībai piederošu vai tās nomātu dzīvojamo telpu vai sociālo dzīvokli saskaņā ar likumu "Par palīdzību dzīvokļa jautājumu risināšanā" vai likumu "Par sociālajiem dzīvokļiem un sociālajām dzīvojamām mājām". Attiecīgi tās ir divas mērķgrupas, bet par otru mērkgrupu -  kas īrē pašvaldībai piederošu vai tās nomātu dzīvojamo telpu vai sociālo dzīvokli - anotācijā nekas nav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“Sociālo pakalpojumu un sociālās palīdzības likuma mērķauditorija pēc būtības nav enerģētiskās nabadzības riskam pakļautas mājsaimniecības, tāpēc pieeja enerģētiskās nabadzības riskam pakļauto mājsaimniecību identificēšanai saskaņā ar minēto likumu, ir pārāk šaura un var nebūt objektīva”. Minētais arguments nav saprotams, jo trūcīgas un maznodrošinātas mājsaimniecības ir mājsaimniecības, kurām ir nepietiekami ienākumi, lai segtu tās pamatvajadzības, tai skaitā attiecībā uz mājokli. Tomēr piekrītam, ka enerģētiskās nabadzības kontekstā šīs grupas tvērums ir pārāk šaurs.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piedāvāts Enerģētikas likumā enerģētisko mājsaimniecību definēt atbilstoši Energoapgādes izmaksu valsts atbalsta likumā noteiktajai definīcijai, kas nosaka, ka mājsaimniecība šā likuma izpratnē ir vienā Latvijas Republikas adresē deklarētās un reģistrētās personas, kā arī Ukrainas civiliedzīvotāji, kuriem Latvijas Republikā piešķirts pagaidu aizsardzības statuss un kuriem šajā adresē ir norādītā dzīvesvietas adrese. Tāpat minētais likums nosaka kārtību, kādā šādas mājsaimniecības tiek identificētas automātiski, izmantojot Valsts iestāžu pārvaldībā esošajos reģistros iekļauto informāciju. Minētā likuma ietvaros mājsaimniecību identificēšanā nav nepieciešama individuāla mājsaimniecību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kā atbalsta saņēmēju tikai minētās mājsaimniecības, Labklājības ministrija šobrīd saskata divus nozīmīgus riskus. Pirmkārt, minētā sistēma vēl nedarbojas un tas, ka “sistēma ļautu efektīvāk un objektīvāk identificēt enerģētiskās nabadzības riskam pakļautās grupas” vēl nav pierādīts, jo sistēma nav testēta, lai pārliecinātos par tās efektivitāti. Otrkārt, atbalsts tiks sniegts atbilstoši personas deklarētajai vai reģistrētajai dzīvesvietai. Lai arī Klimata un enerģētikas ministrija ir uzsvērusi, ka ar dzīvesvietas deklarāciju saistītās problēmas nerisinās, tomēr, ņemot vērā, ka šajā jautājumā ir būtiski izaicinājumi, Labklājības ministrija ir piesardzīga un uzskata, ka atbalsts var nebūt tik mērķtiecīgs (nesasniegt mērķa grupas) kā tas ir plānots.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Labklājības ministrija piedāvā Enerģētikas likumā saglabāt esošo enerģētiskās nabadzības riskam pakļauto mājsaimniecību definīciju, papildinot ar Energoapgādes izmaksu valsts atbalsta likumā noteikto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likumā saglabāt esošo enerģētiskās nabadzības riskam pakļauto mājsaimniecību definīciju, papildinot ar Energoapgādes izmaksu valsts atbalsta likumā noteikto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veicot aprēķinus par mājsaimniecību izdevumiem par mājokli, un to, kādiem būtu jābūt mājsaimniecību minimālajiem ienākumiem, lai šīs mājsaimniecības nebūtu pakļautas enerģētiskās nabadzības riskam, kas balstīts uz Centrālās statistikas pārvaldes (turpmāk - CSP) apkopotajiem datiem, ir secināts, ka to mājsaimniecību īpatsvars, kas varētu būt pakļautas enerģētiskās nabadzības riskam ir lielāks, nekā Sociālo pakalpojumu un sociālās palīdzības likuma mērķauditorija, tāpēc pieeja enerģētiskās nabadzības riskam pakļauto mājsaimniecību identificēšanai saskaņā ar minēto likumu, ir pārāk šaura un var nebūt objektīva un spējīga identificēt patieso enerģētiskās nabadzības riskam pakļauto mājsaimniecību skaitu un īpatsvaru. Kā arī, ņemot vērā, ka Būvniecības un valsts kontroles biroja un Ministrijas izstrādātā Energoresursu izmaksu kompensācijas informācijas sistēma pēc būtības ļauj identificēt enerģētiskās nabadzības riskam pakļautās mājsaimniecības, Ministrijas ieskatā tiesību aktos būtu nepieciešams ietvert normas, kas atbilst faktiskajām valsts iespējām šādas mājsaimniecības identificēt un ilgtermiņā izstrādāt mērķētus pasākumus šādu mājsaimniecību īpatsvara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likumprojektā ietvertie grozījumi attiecībā uz enerģētiskās nabadzības riskam pakļautu mājsaimniecību neatstāj ietekmi uz Labklājības ministrijas kompetencē esošajiem sociālajiem pakalpojumiem un sociālo palīdzību, tostarp pašvaldību administrētajiem mājokļu pabalstiem. Kā arī norādām, ka ilgtermiņā valstij ir nepieciešams izstrādāt objektīvu sistēmu enerģētiskās nabadzības riskam pakļauto mājsaimniecību identificēšanai, kas varētu būt pamats, piemēram, atbalsta programmu izstrādei Sociālā klimata fonda vai citu publiskā finansējuma piešķiršanai, īpaši ņemot vērā, ka šobrīd Enerģētikas likumā ietvertā enerģētiskās nabadzības riskam pakļauto mājsaimniecību definīcija neaptver visas minētās mājsaimniecības, bet tikai daļu no 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nabadzības skarta mājsaimniecība ir mājsaimniecība ar zemu un vidēji zemu ienākumu līmeni Energoapgādes izmaksu valsts atbalsta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Vienotais dabasgāzes pārvades un uzglabāšanas sistēmas operators ar izcelsmes apliecinājuma izdošanu un citām ar izcelsmes apliecinājumu reģistra darbībām saistīto izmaksu kompensēšanai var pieprasīt maksu. Iekārtām, kuru jauda ir mazāka par 50 kilovatiem (kW) un atjaunīgās enerģijas kopienām maksai par izcelsmes apliecinājuma izsniegšanu piemēro atlaidi 50 procentu apmērā. Vienotais dabasgāzes pārvades un uzglabāšanas sistēmas operators izstrādā un publicē savā tīmekļvietnē maksas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11. punktā ietverto iebildumu atkārtoti lūdzam skaidrot, kā paredzēts pārņemt Eiropas Parlamenta un Padomes 2023. gada 18. oktobra Direktīvas (ES) 2023/2413, ar ko attiecībā uz atjaunīgo energoresursu enerģijas izmantošanas veicināšanu groza Direktīvu (ES) 2018/2001, Regulu (ES) 2018/1999 un Direktīvu 98/70/EK un atceļ Padomes Direktīvu (ES) 2015/652 (turpmāk - direktīva Nr. 2023/2413), 1. panta 9. punkta "a" apakšpunkta "ii" apakšpunktā izteiktajā direktīvas Nr. 2018/2001 19. panta 2. punkta trešajā daļā ietverto prasību ieviest vienkāršotus reģistrācijas procesus, līdztekus samazinātai reģistrācijas maksai, un nepieciešamības gadījumā papildinot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netiek paredzēti specifiski nosacījumi attiecībā uz reģistrācijas procesa atvieglošanu, jo praksē reģistrācijas process jau šobrīd ir iespējami vienkāršs. Proti, vienkāršs reģistrācijas process tiek piedāvāts visiem reģistra lietotājiem, līdz ar to vēl vienkāršāku procesu šobrīd izstrādāt nav iespējams. Atvieglojumi tiek paredzēti attiecībā uz izcelsmes apliecinājuma reģistrēšanas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paredzēts ietvert nosacījumus attiecībā uz atlaidi reģistrācijas maksai izcelsmes apliecinājumu reģistrā, jo spēkā esošā Enerģētikas likuma redakcija paredz, ka sistēmas operators ir tiesīgs piemērot maksu par izcelsmes apliecinājuma reģistrēšanu, nevis reģistrēšanos izcelsmes apliecinājumu reģistrā, un praksē sistēmas operators atjaunīgās enerģijas ražotājiem nepiemēro reģistrēšanās maksu izcelsmes apliecinājumu reģistrā, tāpēc atvieglojumu piemērošana neesošai maksai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nabadzības skarta mājsaimniecība ir mājsaimniecība ar zemu un vidēji zemu ienākumu līmeni Energoapgādes izmaksu valsts atbalsta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piekrīt, ka Sociālo pakalpojumu un sociālās palīdzības likumā definētā mērķauditorija - trūcīgas un maznodrošinātas mājsaimniecības – ir pārāk šaura un var nebūt objektīva, lai  identificētu patieso enerģētiskās nabadzības riskam pakļauto mājsaimniecību skaitu un īpatsvaru. Tomēr Labklājības ministrija uztur iebildumu attiecībā uz bažām par to, ka Energoresursu izmaksu kompensācijas informācijas sistēma vēl nav testēta, tāpēc secināt, ka “likumprojektā ietvertie grozījumi attiecībā uz enerģētiskās nabadzības riskam pakļautu mājsaimniecību neatstāj ietekmi uz Labklājības ministrijas kompetencē esošajiem sociālajiem pakalpojumiem un sociālo palīdzību, tostarp pašvaldību administrētajiem mājokļu pabalstiem.” nav šobrīd pamata. Labklājības ministrija uzskata, ka noteikto kritēriju dēļ var rasties situācijas, kur trūcīgas un maznodrošinātas mājsaimniecības iepriekš neparedzamu apstākļu dēļ (datu atlases no sistēmām rezultātā) varētu nekvalificēties Energoapgādes izmaksu valsts atbalsta likumā noteiktajam energoresursu izmaksu kompensācijas atbalstam, kad tāds tiks nodrošināts, kā rezultātā gan Labklājības ministrija, gan pašvaldībām var rasties finansiālā ietekme uz pašvaldību administrētajiem mājokļu pabalstiem.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minēto situāciju, Labklājības ministrija piedāvā kā pārejas normu uz noteiktu laiku saglabāt abas mērķa grupas – gan Sociālo pakalpojumu un sociālās palīdzības likumā definētās mājsaimniecības, t.i., trūcīgas vai maznodrošinātas mājsaimniecības, gan mājsaimniecības ar zemu un vidēji zemu ienākumu līmeni Energoapgādes izmaksu valsts atbalsta likuma izpratnē. Tādējādi enerģētiskās nabadzības riskam pakļauto mājsaimniecību tvērums tiek paplašināts. Savukārt tad, kad Energoresursu izmaksu kompensācijas informācijas sistēma tiks notestēta, izvērtējot sasniegtās mērķa grupas, to tvērumu, pārklājumu un mērķētību, lemt par Sociālo pakalpojumu un sociālās palīdzības likumā definētās mērķgrupas izslēgšanu no Enerģētikas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nabadzības skarta mājsaimniecība ir trūcīga vai maznodrošināta mājsaimniecības Sociālo pakalpojumu un sociālās palīdzības likuma izpratnē un mājsaimniecība ar zemu un vidēji zemu ienākumu līmeni Energoapgādes izmaksu valsts atbalsta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spēkā esošajā Enerģētikas likuma redakcijā ietvertās normas, kas nosaka enerģētiskās nabadzības riskam pakļauto mājsaimniecību loku, neaptver visas enerģētiskās nabadzības riskam pakļautās mājsaimniecībās, bet tikai daļu no tām. Attiecīgais secinājums izdarīts, balstoties uz Ministrijas veiktiem aprēķiniem (balstoties uz CSP datiem) par aptuveno enerģētiskās nabadzības riskam pakļauto mājsaimniecību īpatsvaru, kas ir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balstoties uz sarunu starp Ministriju un Labklājības ministriju panākta vienota izpratne par to, ka Enerģētikas likumā plānotie grozījumi pēc būtības nav saistīti ar atbalsta piešķiršanu mājsaimniecībām, bet vienkārši definē enerģētiskās nabadzības riskam pakļauto mājsaimniecību loku un to identificēšanas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nabadzības skarta mājsaimniecība ir mājsaimniecība ar zemu un vidēji zemu ienākumu līmeni Energoapgādes izmaksu valsts atbalsta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117.</w:t>
            </w:r>
            <w:r w:rsidR="00000000" w:rsidRPr="00000000" w:rsidDel="00000000">
              <w:rPr>
                <w:vertAlign w:val="superscript"/>
                <w:rtl w:val="0"/>
              </w:rPr>
              <w:t xml:space="preserve">2</w:t>
            </w:r>
            <w:r w:rsidR="00000000" w:rsidRPr="00000000" w:rsidDel="00000000">
              <w:rPr>
                <w:rtl w:val="0"/>
              </w:rPr>
              <w:t xml:space="preserve"> panta pirmās daļas 2.punktu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lūdz saglabāt Enerģētikas likumā nostiprināto redakciju, nosakot, ka gāzes izcelsmes apliecinājumā norāda enerģijas ražošanas sākumu un beigu datumu, taču lūdzam nenoteikt detalizāciju stundas vai biežākā intervālā.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izcelsmes apliecinājumu laika (vai apjoma) samazinājumu un detalizācijas jautājumi ir ieviešami elektroenerģijas jomā, lai izsekotu un salāgotu atjaunīgās elektroenerģijas ražošanu ar patēriņu, taču gāzes sektorā šāda stundu un pusstundu izsekošana būtiski palielina Sabiedrībai uzlikto administratīvo slogu, nenesot būtisku labumu gāzes izcelsmes apliecinājumu lietotājiem vai to vispārīgā izsekošanā un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Eiropas Parlamenta un Padomes Direktīvas (ES) 2018/2001 (2018. gada 11. decembris) par no atjaunojamajiem energoresursiem iegūtas enerģijas izmantošanas veicināšanu (pārstrādāta redakcija) (turpmāk – RED3) 19. panta 7. punkts, kurš pārņemts likumā, tika veidots, lai 1) regulējumu attiecinātu arī uz siltumenerģijas un aukstumenerģijas izcelsmes apliecinājumiem; kā arī 2) nebioloģiskas izcelsmes atjaunīgajiem kurināmajiem/degvielām jeb ūdeņradi (un kuru var ražot no atjaunīgās elektroenerģijas, tostarp, sadalot elektroenerģijas uzskaiti mazākās vienībās (1 Wh). Ūdeņraža, siltumenerģijas un aukstumenerģijas izcelsmes apliecinājumu regulējums, kas ietverts RED3, Enerģētikas likumā nav plaši pārņemts, līdz ar to Sabiedrība lūdz saglabāt Enerģētikas likuma 117.</w:t>
            </w:r>
            <w:r w:rsidR="00000000" w:rsidRPr="00000000" w:rsidDel="00000000">
              <w:rPr>
                <w:vertAlign w:val="superscript"/>
                <w:rtl w:val="0"/>
              </w:rPr>
              <w:t xml:space="preserve">2</w:t>
            </w:r>
            <w:r w:rsidR="00000000" w:rsidRPr="00000000" w:rsidDel="00000000">
              <w:rPr>
                <w:rtl w:val="0"/>
              </w:rPr>
              <w:t xml:space="preserve"> panta pirmās daļas 2. punktu esošajā redakcijā vai lūdzam pilnībā, nevis selektīvi, pārņemt attiecīgo direktīvas normu, tostarp Enerģētikas likumā integrējot gan ūdeņraža, gan siltumenerģijas un aukstumenerģijas izcelsmes apliecinājumu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atjaunīgos energoresursus, no kuriem gāze iegūta, un tās ražošanas sākuma un beigu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Ministrija piekrīt AS "Conexus Baltic Grid" argumentiem, tomēr norādām, ka minētais likumprojektā iekļautais nosacījums par izcelsmes apliecinājumu intervāliem: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(Direktīvas 2023/2413 redakcijā) 19.panta 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Izcelsmes apliecinājumā obligāti 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energoresursu, no kura enerģija iegūta, un ražošanas sākuma un beigu datumus, kurus var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attiecībā uz atjaunīgo gāzi, tostarp gāzveida nebioloģiskas izcelsmes atjaunīgajiem kurināmajiem/degvielām, un atjaunīgo siltumenerģiju un aukstumenerģiju – stundas vai apakšstundas intervālā;"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skaidrojam, ka, ja šo nosacījumu likumprojektā neiekļauj, tad tas būs uzskatāms par direktīvas transponēšanas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117.</w:t>
            </w:r>
            <w:r w:rsidR="00000000" w:rsidRPr="00000000" w:rsidDel="00000000">
              <w:rPr>
                <w:vertAlign w:val="superscript"/>
                <w:rtl w:val="0"/>
              </w:rPr>
              <w:t xml:space="preserve">2</w:t>
            </w:r>
            <w:r w:rsidR="00000000" w:rsidRPr="00000000" w:rsidDel="00000000">
              <w:rPr>
                <w:rtl w:val="0"/>
              </w:rPr>
              <w:t xml:space="preserve"> panta pirmās daļas 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Enerģētiskās nabadzības skarto mājsaimniecību skaita novērtēšanai izmanto Energoapgādes izmaksu valsts atbalsta likumā minēto energoresursu izmaksu kompensācijas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15. pantā ir paredzēts izteikt Enerģētikas likuma 121. panta trešo daļu jaunā redakcijā, nosakot, ka nabadzības skarto mājsaimniecību skaita novērtēšanai izmanto Energoapgādes izmaksu valsts atbalsta likumā minēto energoresursu izmaksu kompensācijas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anotācijā skaidrots, ka, veicot aprēķinus par mājsaimniecību izdevumiem par mājokli, un to, kādiem būtu jābūt mājsaimniecību minimālajiem ienākumiem, lai šīs mājsaimniecības nebūtu pakļautas enerģētiskās nabadzības riskam, kas balstīts uz Centrālās statistikas pārvaldes apkopotajiem datiem, </w:t>
            </w:r>
            <w:r w:rsidR="00000000" w:rsidRPr="00000000" w:rsidDel="00000000">
              <w:rPr>
                <w:u w:val="single"/>
                <w:rtl w:val="0"/>
              </w:rPr>
              <w:t xml:space="preserve">ir secināts, ka to mājsaimniecību īpatsvars, kas varētu būt pakļautas enerģētiskās nabadzības riskam ir lielāks</w:t>
            </w:r>
            <w:r w:rsidR="00000000" w:rsidRPr="00000000" w:rsidDel="00000000">
              <w:rPr>
                <w:rtl w:val="0"/>
              </w:rPr>
              <w:t xml:space="preserve">, nekā Sociālo pakalpojumu un sociālās palīdzības likuma mērķauditorija. Līdz ar to secināts, ka Energoapgādes izmaksu valsts atbalsta likumā minētā energoresursu izmaksu kompensēšanas informācijas sistēma ļautu efektīvāk un objektīvāk identificēt enerģētiskās nabadzības riskam pakļautās mājsaimniecības un to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valsts inspekcija norāda, ka tikai tas apstāklis vien, ka ir konstatēts, ka enerģētiskās nabadzības riskam pakļauto mājsaimniecību skaits varētu būt lielāks nekā Sociālo pakalpojumu un sociālās palīdzības likuma mērķauditorija un attiecīgi Centrālās statistikas pārvaldes apkopotie dati, nenozīmē, ka visu iedzīvotāju personas datu apstrāde konkrētajam nolūkam būtu samērīga.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anotācijā iztrūkst detalizēta aprēķina par to, kāda daļa no visiem iedzīvotājiem kvalificētos enerģētiskās nabadzības skartai mājsaimniecībai. Būtu pamatoti enerģētiskās nabadzības identificēšanai apstrādāt to personu datus, kurām ir piešķirti atvieglojumi un kas tādējādi kvalificētos šādam statusam, bet nevis visu iedzīvotāju personu datus. Vēršam uzmanību, ka visu iedzīvotāju personas datu apstrāde konkrētajam nolūkam nav atbilstoša Datu regulas 5. panta 1. punkta c) apakšpunktā minētajam datu minimizēšanas principam.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norādām, ka enerģētiskās nabadzības skarto mājsaimniecību novērtēšanu būtu iespējams veikt, izmantojot jau esošās informācijas sistēmas, piemēram, statistikas datu ieguvei.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precizēt anotāciju, skaidrojot, kādēļ enerģētiskās nabadzības identificēšanai nav iespējams izmantot jau esošās informācijas sistēmas, kā arī precizēt, kāda daļa no visiem iedzīvotājiem varētu kvalificēties enerģētiskās nabadzības skartai mājsaimniecībai. Papildus lūdzam anotācijā norādīt, ka Datu valsts inspekcijas ieskatā visu iedzīvotāju datu apstrāde enerģētiskās nabadzības skartas mājsaimniecības novērtēšanai nav samērīga un neatbilst Datu regulas 5. panta 1. punkta c) apakšpunktā minētajam datu minimizēšanas principam.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Enerģētiskās nabadzības skarto mājsaimniecību skaita novērtēšanai un identificēšanai valsts atbalsta piešķiršanai izmanto Energoapgādes izmaksu valsts atbalsta likumā minēto energoresursu izmaksu kompensācijas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Enerģētiskās nabadzības skarto mājsaimniecību skaita novērtēšanai izmanto Energoapgādes izmaksu valsts atbalsta likumā minēto energoresursu izmaksu kompensācijas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Inspekcija nevar uzskatīt par ņemtu vērā iepriekš izteikto iebildumu turpmāko apsvērumu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likumprojekta 121. panta trešajā daļā paredzēta personas datu apstrāde, savukārt atbilstoši Datu regulai ikkatrai datu apstrādei ir jābūt noteiktam nolūkam. No likumprojekta un tā anotācijas būtības izriet, ka datu apstrādes nolūki nav saprotami.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noteikts, ka datu apstrādes nolūks ir enerģētiskās nabadzības skarto mājsaimniecību skaita </w:t>
            </w:r>
            <w:r w:rsidR="00000000" w:rsidRPr="00000000" w:rsidDel="00000000">
              <w:rPr>
                <w:u w:val="single"/>
                <w:rtl w:val="0"/>
              </w:rPr>
              <w:t xml:space="preserve">novērtēšana</w:t>
            </w:r>
            <w:r w:rsidR="00000000" w:rsidRPr="00000000" w:rsidDel="00000000">
              <w:rPr>
                <w:rtl w:val="0"/>
              </w:rPr>
              <w:t xml:space="preserve">, kas ietver ne tikai konkrēto mājsaimniecību skaita noteikšanu, bet arī iespējamu mājsaimniecību identificēšanu, lai šos datus nodotu citām institūcijām turpmāku darbību veikšanai. Anotācijā vērsta uzmanība gan uz mājsaimniecību skaita noteikšanu, gan konkrētas mājsaimniecības identificēšanu. No likumprojekta un anotācijas nav izprotams, kāds ir enerģētiskās nabadzības riska skarto mājsaimniecību novērtēšanas mērķis. Proti, vai tā ir tikai šo mājsaimniecību skaita identificēšana vai arī citu turpmāku darbību veikšana, piemēram, konkrētas mājsaimniecības noteikšana, lai veiktu citus pasākumus attiecībā jau uz konkrēto mājsaimniecību.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 izriet, ja konkrēto grozījumu mērķis ir tikai mājsaimniecību skaita noteikšana, likumprojekta tiesību norma attiecīgi precizējama, nosakot, ka "Enerģētiskās nabadzības skarto mājsaimniecību skaita noteikšanai izmanto Energoapgādes izmaksu valsts atbalsta likumā minēto energoresursu izmaksu kompensācijas informācijas sistēmu". Šādā gadījumā sistēma var tikt izmantota tikai minētajam nolūkam, lai noteiktu mājsaimniecību skaitu, kas atbilst enerģētiskās nabadzības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ja mērķis ir ne tikai noteikt šādu mājsaimniecību skaitu, bet apstrādāt šos datus citos nolūkos, tad šiem citiem nolūkiem ir jābūt noteiktiem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attiecīgi precizēt likumprojektu un tā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nabadzības skarto mājsaimniecību skaita noteikšanai izmanto Energoapgādes izmaksu valsts atbalsta likumā minēto energoresursu izmaksu kompensācijas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 un tā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Enerģētiskās nabadzības skarto mājsaimniecību skaita novērtēšanai un identificēšanai valsts atbalsta piešķiršanai izmanto Energoapgādes izmaksu valsts atbalsta likumā minēto energoresursu izmaksu kompensācijas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"104. Šā likuma 58.</w:t>
            </w:r>
            <w:r w:rsidR="00000000" w:rsidRPr="00000000" w:rsidDel="00000000">
              <w:rPr>
                <w:vertAlign w:val="superscript"/>
                <w:rtl w:val="0"/>
              </w:rPr>
              <w:t xml:space="preserve">11</w:t>
            </w:r>
            <w:r w:rsidR="00000000" w:rsidRPr="00000000" w:rsidDel="00000000">
              <w:rPr>
                <w:rtl w:val="0"/>
              </w:rPr>
              <w:t xml:space="preserve"> panta trīspadsmitā daļa ir piemērojama tām atbalsta programmām, kas ir apstiprinātas pēc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Regulators līdz 2027. gada 31. decembrim izdod šā likuma 6. panta 3.</w:t>
            </w:r>
            <w:r w:rsidR="00000000" w:rsidRPr="00000000" w:rsidDel="00000000">
              <w:rPr>
                <w:vertAlign w:val="superscript"/>
                <w:rtl w:val="0"/>
              </w:rPr>
              <w:t xml:space="preserve">1</w:t>
            </w:r>
            <w:r w:rsidR="00000000" w:rsidRPr="00000000" w:rsidDel="00000000">
              <w:rPr>
                <w:rtl w:val="0"/>
              </w:rPr>
              <w:t xml:space="preserve"> daļā noteikto aukstumapgādes tarifu aprēķināšanas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Ministru kabinets līdz 2025. gada 31. decembrim izdod šā likuma 17.</w:t>
            </w:r>
            <w:r w:rsidR="00000000" w:rsidRPr="00000000" w:rsidDel="00000000">
              <w:rPr>
                <w:vertAlign w:val="superscript"/>
                <w:rtl w:val="0"/>
              </w:rPr>
              <w:t xml:space="preserve">1</w:t>
            </w:r>
            <w:r w:rsidR="00000000" w:rsidRPr="00000000" w:rsidDel="00000000">
              <w:rPr>
                <w:rtl w:val="0"/>
              </w:rPr>
              <w:t xml:space="preserve"> panta 8.</w:t>
            </w:r>
            <w:r w:rsidR="00000000" w:rsidRPr="00000000" w:rsidDel="00000000">
              <w:rPr>
                <w:vertAlign w:val="superscript"/>
                <w:rtl w:val="0"/>
              </w:rPr>
              <w:t xml:space="preserve">2</w:t>
            </w:r>
            <w:r w:rsidR="00000000" w:rsidRPr="00000000" w:rsidDel="00000000">
              <w:rPr>
                <w:rtl w:val="0"/>
              </w:rPr>
              <w:t xml:space="preserve">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3.februārī atkārtotai saskaņošanai pieteiktajā Likumprojektā ir ietverta jauna tiesību norma – Pārejas noteikumu 105.punkts, nosakot Regulatoram pienākumu līdz 2027.gada 31.decembrim izdot aukstumapgādes tarifu aprēķināšanas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ietver vispārīgu informāciju, ka Latvijā šobrīd vēl nav izveidotas centralizētas aukstumapgādes sistēmas, bet, nākotnē tādām veidojoties, būs nepieciešams regulējums. Tāpat Anotācijā minēts, ka būs nepieciešams veikt grozījumus Ministru kabineta 2009.gada 27.oktobra noteikumos Nr.1227 “Noteikumi par regulējamiem sabiedrisko pakalpojumu veidiem” (turpmāk – MK noteikumi Nr.1227), iekļaujot aukstumapgādi kā regulējamu sabiedrisko pakalpojumu veidu no noteikta piegādātās enerģijas sliekšņa. Tomēr Likumprojektā nav iekļauts termiņš, līdz kuram Ministru kabinetam ir pienākums pieņemt minētos grozījumus MK noteikumos Nr.1227. Regulators uzsver, ka sabiedrisko pakalpojumu tarifu aprēķināšanas metodikas izstrādes process ir savlaicīgi jāplāno un jāīsteno. Pamata procesi, kas veido sabiedrisko pakalpojumu tarifu aprēķināšanas metodikas izstrādes procesu, ir (a) metodikas projekta satura izstrāde (tajā skaitā tas ietver datu apkopošanu, izvērtēšanu un ekonomiski pamatotu pieeju konstatēšanu tarifu aprēķināšanas kārtības noteikšanai); (b) konsultēšanas process ar ieinteresētajām personām un tirgus dalībniekiem (process var veidot arī  atkārtotas konsultēšanas nepieciešamību); (c) metodikas pieņemšana un spēkā stāšanās. Vidēji kopējais sabiedrisko pakalpojumu tarifu aprēķināšanas metodikas izstrādes termiņš, turklāt jomā, kas ir jauna, tādējādi izejas dati par šī pakalpojuma specifikām nav plaši pieejami un praksē pārbaudīti, var aizņemt vismaz viena gada termiņu. Tādējādi Regulatoram ir nepieciešams savlaicīgi zināt kāds tieši aukstumapgādes pakalpojums būs noteikts MK noteikumos  Nr.1227 kā regulējams pakalpojums. Līdz ar to Anotācijā iekļautais skaidrojums, ka darbs pie MK noteikumu Nr.1227 grozījumu izstrādes tiks uzsākts savlaicīgi, ir nepietiekams iepretim Likumprojektā iekļautajam pienākumam Regulatoram konkrētā termiņā izstrādāt aukstumapgādes tarifu aprēķināšanas metodiku. Ņemot vērā minēto, Regulators lūdz vai nu izslēgt no Likumprojekta Regulatoram noteikto pienākumu konkrētā termiņā (līdz 2027.gada 31.decembrim) izstrādāt aukstumapgādes tarifu aprēķināšanas metodiku, vai iekļaut papildu normu, ka Ministru kabinetam grozījumi MK noteikumos Nr.1227 par regulējamo aukstumapgādes pakalpojumu jāizstrādā līdz 2026.gada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likums, t.sk. Likumprojekts, neparedz tiešu deleģējumu veikt grozījumus Ministru kabineta 2009. gada 27. oktobra noteikumos Nr. 1227 "Noteikumi par regulējamiem sabiedrisko pakalpojumu veidiem" (turpmāk - MK noteikumi Nr.1227). Attiecīgi Likumprojektā nav pamata ietvert pārejas normu, kurā noteikts termiņš, kādā jāveic grozījumi minētajos noteikumos. Ņemot vērā minēto, no Likumprojekta izslēgts pārejas normā noteiktais termiņš, kādā nepieciešams izstrādāt aukstumapgādes tarifu aprēķināšanas metodiku. Termiņš tiks iekļauts protokollēmumā, veicot grozījumus MK noteikumos Nr.1227.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pārskatīt Anotācijā pie termina “apakšlietotājs” skaidrotā (tajā skaitā, ka “dzīvokļu īpašnieki ir apakšlietotāji, jo tie patērē minēto siltumenerģiju, bet tiem nav sava individuāla līguma ar piegādātāju”) atbilstību (a) Dzīvojamo māju pārvaldīšanas likumam, tajā skaitā 17.2 panta pirmajā un otrajā daļā noteiktajam, ka līgumus par dzīvojamās mājas uzturēšanai nepieciešamo pakalpojumu nodrošināšanu slēdz visu dzīvojamās mājas īpašnieku vārdā; (b) Dzīvokļa īpašuma likumam, tajā skaitā 15.panta pirmajā daļā noteiktajam, ka dzīvokļu īpašnieku kopība ir tiesību subjekts. Šā likuma 16.pantā noteiktās kompetences ietvaros tā var iegūt tiesības un uzņemties saistības, iegūt īpašuma un citas lietu tiesības, kā arī būt prasītāja un atbildētāja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likumprojekts atbilstoši skaidrojumam.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1.3.sadaļā minēto, ka “</w:t>
            </w:r>
            <w:r w:rsidR="00000000" w:rsidRPr="00000000" w:rsidDel="00000000">
              <w:rPr>
                <w:i w:val="1"/>
                <w:rtl w:val="0"/>
              </w:rPr>
              <w:t xml:space="preserve">Ņemot vērā Direktīvā 2018/2001 un Enerģētikas likumā iekļauto "atbalsta shēmas" definīciju, ir saprotams, ka "atbalsta shēma" ir arī jebkādas nacionāli piemērotās nodokļu atlaides, nodokļu atbrīvojumi vai atvieglojumi, tomēr, ņemot vērā Eiropas Komisijas ekspertu skaidrojumu, visi nodokļu atbrīvojumi vai atvieglojumi, kas ir jau noteikti vai pieļauti Eiropas Savienības tiesību aktos, nav uzskatāmi par nacionālo atbalsta shēmu. Līdz ar to par nacionālo atbalsta shēmu, uz kuru būtu attiecināms biomasas kaskadēšanas princips, nebūtu uzskatāms tāds atbalsts kā samazinātā pievienotā nodokļa likme koksnes kurināmajam vai mazāks akcīzes nodoklis biomasas degvielām, jo šādas iespējas jau ir noteiktas Eiropas Savienības tiesību aktos.</w:t>
            </w:r>
            <w:r w:rsidR="00000000" w:rsidRPr="00000000" w:rsidDel="00000000">
              <w:rPr>
                <w:rtl w:val="0"/>
              </w:rPr>
              <w:t xml:space="preserve">”, atkārtoti skaidrojam, ka gadījumos, kad ES regulējumā ir paredzēta imperatīva norma, kas ir obligāti piemērojama visām dalībvalstīm, ar kuru paredzēts, piemēram, nodokļa atbrīvojums, tad šāds pasākums neparedz dalībvalsts rīcības brīvību šīs normas piemērošanā un tādējādi šādu normu ieviešana nebūtu jāvērtē komercdarbības atbalsta regulējuma kontekstā. Savukārt, gadījumos, kad ES regulējums paredz rīcības brīvību dalībvalstīm normā paredzētā nodokļa atvieglojuma piemērošanā vai apmērā noteikšanā, tad šādas normas ieviešana ir jāvērtē atbilstoši komercdarbības atbalsta kontroles regulējumam, kas var kvalificēties kā nacionālā atbalsta shēma Enerģētikas likuma izpratnē. Līdz ar to lūdzam precizēt iepriekš minēto rindkopu likumprojekta anotācijā. Vienlaikus lūdzam skatīt arī Finanšu ministrijas 28.10.2024 iebildumā sniegto skaidrojumu, kas ir iekļauts izziņas 14.punktā.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w:t>
            </w:r>
            <w:r w:rsidR="00000000" w:rsidRPr="00000000" w:rsidDel="00000000">
              <w:rPr>
                <w:i w:val="1"/>
                <w:rtl w:val="0"/>
              </w:rPr>
              <w:t xml:space="preserve">Tāpat, ņemot vērā Direktīvā 2018/2001 un Enerģētikas likumā iekļauto "atbalsta shēmas" definīciju, ir saprotams, ka "atbalsta shēma" ir arī jebkādas nacionāli piemērotās nodokļu atlaides, nodokļu atbrīvojumi vai atvieglojumi, tomēr, ņemot vērā Eiropas Komisijas ekspertu skaidrojumu, visi nodokļu atbrīvojumi vai atvieglojumi, kas ir jau noteikti vai pieļauti Eiropas Savienības tiesību aktos, nav uzskatāmi par nodokļu atbrīvojumiem vai atvieglojumiem "atbalsta shēma" definīcijas ietvaros. Līdz ar to par atbalsta shēmu nebūtu uzskatāms tāds atbalsts kā samazinātā pievienotā nodokļa likme koksnes kurināmajam vai mazāks akcīzes nodoklis biomasas degvielām, jo šādas iespējas jau ir noteiktas Eiropas Savienības tiesību aktos.</w:t>
            </w:r>
            <w:r w:rsidR="00000000" w:rsidRPr="00000000" w:rsidDel="00000000">
              <w:rPr>
                <w:rtl w:val="0"/>
              </w:rPr>
              <w:t xml:space="preserve">” Ņemot vērā, ka likumprojekts pēc sava satura neparedz nekādu atbalsta pasākumu ieviešanu, tai skaitā tādu, kas varētu kvalificēties kā atbalsta shēma Enerģētikas likuma izpratnē, nav skaidrs, kādēļ anotācijas 1.3.sadaļa ir iekļauts iepriekš minētais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atbilstoši Eiropas Savienības Tiesas judikatūrai un Eiropas Komisijas lēmumu praksei, kas ir apkopota </w:t>
            </w:r>
            <w:r w:rsidR="00000000" w:rsidRPr="00000000" w:rsidDel="00000000">
              <w:rPr>
                <w:i w:val="1"/>
                <w:rtl w:val="0"/>
              </w:rPr>
              <w:t xml:space="preserve">Komisijas paziņojumā par Līguma par Eiropas Savienības darbību 107. panta 1. punktā minēto valsts atbalsta jēdzienu (2016/C 262/01)</w:t>
            </w:r>
            <w:r w:rsidR="00000000" w:rsidRPr="00000000" w:rsidDel="00000000">
              <w:rPr>
                <w:rtl w:val="0"/>
              </w:rPr>
              <w:t xml:space="preserve"> (turpmāk – Komisijas paziņojums), v</w:t>
            </w:r>
            <w:r w:rsidR="00000000" w:rsidRPr="00000000" w:rsidDel="00000000">
              <w:rPr>
                <w:i w:val="1"/>
                <w:rtl w:val="0"/>
              </w:rPr>
              <w:t xml:space="preserve">alsts līdzekļi var tikt piešķirti daudzos dažādos veidos [..]. Nav nepieciešama līdzekļu pozitīvas summas nodošana – pietiek ar valsts atteikšanos no ieņēmumiem. Atteikšanās no tādiem ieņēmumiem, kuri parastā gadījumā tiktu samaksāti valstij, ir uzskatāma par valsts līdzekļu piešķiršanu. Piemēram, nodokļu [..] “iztrūkums”, ko rada nodokļu [..]  atbrīvojumi vai samazinājumi, kurus piešķīrusi dalībvalsts, [..] atbilst Līguma 107. panta 1. punktā izvirzītajai prasībai par valsts līdzekļiem</w:t>
            </w:r>
            <w:r w:rsidR="00000000" w:rsidRPr="00000000" w:rsidDel="00000000">
              <w:rPr>
                <w:rtl w:val="0"/>
              </w:rPr>
              <w:t xml:space="preserve"> (skat. Komisijas paziņojuma 51.punktu). Vēršam uzmanību, ka Direktīva 2023/2413 groza Direktīvu 2018/2001, kuras preambulas 18.apsvērumā minētais “</w:t>
            </w:r>
            <w:r w:rsidR="00000000" w:rsidRPr="00000000" w:rsidDel="00000000">
              <w:rPr>
                <w:i w:val="1"/>
                <w:rtl w:val="0"/>
              </w:rPr>
              <w:t xml:space="preserve">Ievērojot LESD 108. pantu, Komisijai ir ekskluzīva kompetence novērtēt to valsts atbalsta pasākumu saderību ar iekšējo tirgu, kurus dalībvalsts var ieviest no atjaunojamajiem energoresursiem iegūtas enerģijas izmantošanas attīstīšanai. Minēto novērtējumu veic, pamatojoties uz LESD 107. panta 3. punktu un saskaņā ar visiem attiecīgiem noteikumiem un norādījumiem, kurus Komisija var šajā sakarā pieņemt. Šīs direktīvas noteikumi neskar Komisijas ekskluzīvo kompetenci, kas piešķirta ar LESD.</w:t>
            </w:r>
            <w:r w:rsidR="00000000" w:rsidRPr="00000000" w:rsidDel="00000000">
              <w:rPr>
                <w:rtl w:val="0"/>
              </w:rPr>
              <w:t xml:space="preserve">” </w:t>
            </w:r>
            <w:r w:rsidR="00000000" w:rsidRPr="00000000" w:rsidDel="00000000">
              <w:rPr>
                <w:u w:val="single"/>
                <w:rtl w:val="0"/>
              </w:rPr>
              <w:t xml:space="preserve">joprojām ir spēkā un dalībvalstīm, plānojot atbalsta pasākumus, ir jebkurā gadījumā jāizvērtē, vai tie būtu kvalificējami kā komercdarbības atbalsts saskaņā ar Komercdarbības atbalsta kontroles likuma 5.pantā noteiktajām pazīmēm un attiecīgi, vai tie būtu jāievieš saskaņā ar atbilstošu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minētajā anotācijas tekstā ietvertajiem piemēriem skaidrojam turpmāk minēto. Attiecībā uz akcīzes nodokļu pasākumiem Komisijas paziņojuma 184.punktā tiek skaidrots, ka </w:t>
            </w:r>
            <w:r w:rsidR="00000000" w:rsidRPr="00000000" w:rsidDel="00000000">
              <w:rPr>
                <w:i w:val="1"/>
                <w:rtl w:val="0"/>
              </w:rPr>
              <w:t xml:space="preserve">kaut arī akcīzes nodokļi Savienības līmenī lielā mērā ir saskaņoti [..], tas nenozīmē, ka nodokļu atvieglojumi šajās jomās automātiski būtu ārpus valsts atbalsta noteikumu piemērošanas jomas. Samazināts akcīzes nodoklis var radīt selektīvu priekšrocību uzņēmumiem, kuri attiecīgo produktu izmanto kā resursu savā darbībā vai pārdod to tirgū. </w:t>
            </w:r>
            <w:r w:rsidR="00000000" w:rsidRPr="00000000" w:rsidDel="00000000">
              <w:rPr>
                <w:rtl w:val="0"/>
              </w:rPr>
              <w:t xml:space="preserve"> Savukārt, attiecībā uz pievienotās vērtības nodokļa pasākumu ieviešanu skaidrojam, ka visos gadījumos, kad direktīva paredz “izvēles” normu, proti, dalībvalstīm ir iespēja izvēlēties, vai piemērot un kā piemērot tiesību normu, tās pārņemšana nacionālajā regulējumā ir vērtējama no komercdarbības atbalsta viedokļa, proti, jāizvērtē, vai konkrētais pasākums - nodokļa atvieglojums atbilst visām komercdarbības atbalsta pazīmēm (skat. Komisijas paziņojuma 44. un 45.punktu). Vienlaikus Eiropas Komisijas Konkurences ģenerāldirektorāts 05.11.2019. e-State Aid WIKI vietnē ir sniedzis skaidrojumu, ka visos gadījumos, kad dalībvalstis izmanto rīcības brīvību ieviest nodokļu atvieglojumu vai atbrīvojumu pasākumus, kas, t.sk. ir saskaņā ar attiecīgo direktīvu nosacījumiem, dalībvalstis nav atbrīvotas no pienākuma ievērot komercdarbības atbalsta regulējuma prasības, t.sk. no pienākuma paziņot komercdarbības atbalsta pasākumu Eiropas Komisijai saskaņā ar Līguma par Eiropas Savienības darbību 107. un 108.pantu.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izslēgt minēto anotācijas 1.3.sadaļā ietverto tekstu. Vēršam uzmanību, ka, plānojot potenciālos atbalsta pasākumus, ir nepieciešams veikt izvērtējumu no komercdarbības atbalsta kontroles viedokļa, tai skaitā atbilstoši Komercdarbības atbalsta kontroles likuma 10.panta pirmajai daļai tos iesniedzot Finanšu ministrijā sākotnējā izvērtējuma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noteikts kaskadēšanas princips un noteikts, ka tas ir izmantojams atbalsta shēmām bioenerģijas ražošanai, līdz ar to anotācijā ir būtiski izskaidrot, kādās tieši atbalsta shēmās ir jāpiemēro kaskadēšanas princips, t.i. atbalsta shēmām tieši bioenerģijas ražošanai nevis, piemēram, atbalstam tieši tehnoloģiju iegādei. Tāpat ir īpaši svarīgi skaidrot, ka atbalsta shēmas, kas ir iekļautas vai pieļautas Eiropas Savienības tiesību aktos, nav uzskatāmas par nacionālajām atbalsta shēmām, kurām būtu jāpiemēro kaskadēšanas princips. Tādējādi ir saprotams, ka, piemēram, ja Eiropas Savienības tiesību aktos ir noteikts, ka biomasas kurināmajam ir piemērojama zemāka akcīzes nodokļa likme vai zemāka PVN likme, tas ir uzskatāms par Eiropas Savienības atbalsta shēmu, kurai nav piemērojams kaskadēšanas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neparedz kādas atkāpes no komercdarbības atbalsta kontroles nosacījumiem vai atbalsta shēmu saskaņošanu ar Eiropas Komisiju, bet tas definē kaskadēšanas principu, kas jāņem vērā nacionālo atbalsta shēmu nosacījumos.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sniegta informācija, ka Enerģētikas un vides aģentūras jauno funkciju nodrošināšanai tiks </w:t>
            </w:r>
            <w:r w:rsidR="00000000" w:rsidRPr="00000000" w:rsidDel="00000000">
              <w:rPr>
                <w:u w:val="single"/>
                <w:rtl w:val="0"/>
              </w:rPr>
              <w:t xml:space="preserve">meklēts fiskāli neitrāls risinājums.</w:t>
            </w:r>
            <w:r w:rsidR="00000000" w:rsidRPr="00000000" w:rsidDel="00000000">
              <w:rPr>
                <w:rtl w:val="0"/>
              </w:rPr>
              <w:t xml:space="preserve"> Ņemot vērā, ka likumprojektā Enerģētikas un vides aģentūrai ir paredzēta jauna funkcija, tad jau šobrīd ir jābūt pilnīgi skaidram, kāda finansējuma ietvaros tā tiks nodrošināta, turklāt šogad funkcijas veikšana ir iespējama </w:t>
            </w:r>
            <w:r w:rsidR="00000000" w:rsidRPr="00000000" w:rsidDel="00000000">
              <w:rPr>
                <w:u w:val="single"/>
                <w:rtl w:val="0"/>
              </w:rPr>
              <w:t xml:space="preserve">tikai esošo budžeta līdzekļu ietvaros.</w:t>
            </w:r>
            <w:r w:rsidR="00000000" w:rsidRPr="00000000" w:rsidDel="00000000">
              <w:rPr>
                <w:rtl w:val="0"/>
              </w:rPr>
              <w:t xml:space="preserve"> Attiecīgi lūdzam precizēt sniegto informāciju, norādot, ka Enerģētikas un vides aģentūra jauno funkciju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3. sadaļā norādot, ka Enerģētikas un vides aģentūra jauno funkciju nodrošinās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veiktas izmaiņas attiecībā uz Ministru kabineta pilnvarojumu, lūdzam aizpildīt likumprojekta anotācijas 4. sadaļu. Tostarp lūdzam skaidrot likumprojekta 4. pantā paredzētā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tādējādi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likumprojekts tieši paredz svītrot Enerģētikas likumā iekļauto pilnvarojumu un paredz neizstrādāt normatīvo aktu. Tāpat likumprojekts precizē tikai 2024.gada 15.jūlijā spēkā stājušos pilnvarojumu, uz kā pamata tiek izstrādāti Ministru kabineta noteikumi (24-TA-1222).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18. punktā ietverto iebildumu atkārtoti lūdzam izvērtēt un likumprojektu papildināt ar regulējumu attiecībā uz procedūru vienkāršošanu, kā arī likumprojekta anotācijā skaidrot, vai maksas noteikšana atbilstoši Enerģētikas likumam ir pieļaujama, un attiecīgā gadījumā papildināt likumprojektu ar direktīvai atbilstošu regulējumu par atlaides noteikšanu gadījumā, ja maksu piemēro. Norādām, ka tas vien, ka praksē maksa netiek piemērota vai process šobrīd jau ir praksē pietiekami atvieglots, neizslēdz attiecīgo dzīves gadījumu parādīšanos, kas atbilstoši direktīvai prasa noregulējumu. Skaidrojam, ka Eiropas Savienības Tiesa ir atzinusi, ka tiesiskās drošības princips un nepieciešamība nodrošināt pilnīgu direktīvu piemērošanu juridiski, nevis tikai faktiski, prasa, lai visas dalībvalstis pārņemtu attiecīgās direktīvas prasības ar skaidru, precīzu un pārskatāmu tiesisko regulējumu, paredzot saistošas normas jomā, uz kuru tā attiecas. Dalībvalstīm ir šāds pienākums, lai novērstu jebkādas konkrētā brīdī esošās situācijas izmaiņas tajās un nodrošinātu, ka ikviens tiesību subjekts Kopienā (Eiropas Savienībā), ietverot dalībvalstis, kurās noteikta direktīvā minēta darbība nepastāv, jebkuros apstākļos skaidri un precīzi zinātu savas tiesības un pienākumus (sk. </w:t>
            </w:r>
            <w:r w:rsidR="00000000" w:rsidRPr="00000000" w:rsidDel="00000000">
              <w:rPr>
                <w:i w:val="1"/>
                <w:rtl w:val="0"/>
              </w:rPr>
              <w:t xml:space="preserve">Eiropas Savienības Tiesas 2010. gada 14. janvāra spriedumu lietā C 343/08 Komisija/Čehija 40. un 41.</w:t>
            </w:r>
            <w:r w:rsidR="00000000" w:rsidRPr="00000000" w:rsidDel="00000000">
              <w:rPr>
                <w:rtl w:val="0"/>
              </w:rPr>
              <w:t xml:space="preserve"> </w:t>
            </w:r>
            <w:r w:rsidR="00000000" w:rsidRPr="00000000" w:rsidDel="00000000">
              <w:rPr>
                <w:i w:val="1"/>
                <w:rtl w:val="0"/>
              </w:rPr>
              <w:t xml:space="preserve">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Skaidrojam,ka Enerģētikas likuma 117.</w:t>
            </w:r>
            <w:r w:rsidR="00000000" w:rsidRPr="00000000" w:rsidDel="00000000">
              <w:rPr>
                <w:vertAlign w:val="superscript"/>
                <w:rtl w:val="0"/>
              </w:rPr>
              <w:t xml:space="preserve">5</w:t>
            </w:r>
            <w:r w:rsidR="00000000" w:rsidRPr="00000000" w:rsidDel="00000000">
              <w:rPr>
                <w:rtl w:val="0"/>
              </w:rPr>
              <w:t xml:space="preserve"> panta 4.daļa noteic, ka, lai kompensētu ar gāzes izcelsmes apliecinājuma izsniegšanu un elektroniskās sistēmas uzturēšanu saistītās mainīgās izmaksas, vienotais dabasgāzes pārvades un uzglabāšanas sistēmas operators par gāzes izcelsmes apliecinājuma izsniegšanu pieprasa maksu, kuras aprēķināšanas kārtību tas izstrādā un publicē savā tīmekļvietnē. Savukārt ar gāzes izcelsmes apliecinājumu elektroniskā reģistra ieviešanu un tā darbības nodrošināšanu saistītās pamatotās fiksētās izmaksas sedz vienotais dabasgāzes pārvades un uzglabāšanas sistēmas operators. Minētā panta daļa neparedz tiesības vienotajam dabasgāzes pārvades un uzglabāšanas sistēmas operatoram tiesības piemērot cita veida maksu, kas nav ietverta minētajā panta daļā, tostarp tiesības noteikt reģistrācijas maksu gāzes izcelsmes apliecinājuma reģistrā. Līdz ar to Direktīvā ietvertā norma attiecībā uz samazinātu maksu reģistrācijai gāzes izcelsmes apliecinājumu reģistrā pēc būtības ir transponēta.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17. punktā ietverto iebildumu un atkārtoti lūdzam papildināt likumprojekta anotācijas 5. sadaļu ar informāciju par attiecīgo direktīvas Nr. 2023/2413 normu pārņemšanu, tostarp arī direktīvas Nr. 2023/2413 1. panta "9" punkta "b" apakšpunktā izteikto direktīvas Nr. 2018/2001 19. panta 4. punkta otrā teikuma pārņemšanu, par ko informācija no likumprojekta anotācijas saskaņošanas ietvaros svītrota (arī 1.panta "9" punkta "c" apakšpunktā izteiktais direktīvas Nr. 2018/2001 19. panta 7. punkta "a" apakšpunkta "ii" punkts). Nepieciešamības gadījumā, ja konkrētas minētās direktīvas normas ir attiecināmas uz citu jomu (proti, neattiecas uz enerģētikas jomu), lūdzam to anotācijas 5. sadaļā norādīt, tostarp arī skaidrojot, kādos normatīvajos aktos būs nepieciešams izdarīt grozījumus, lai direktīvas prasības pārņemtu pilnībā, kādā termiņā grozījumi iesniedzami Ministru kabinetā un kura ir atbildīgā institūcija par grozījumu sagatavošanu. Norādām, ka informācija par izziņas 17. punktā ietvertajā iebildumā minēto direktīvas normu pārņemšanu nav atrodama arī 2024. gada 13. jūnija likuma "Grozījumi Enerģētikas likumā" anotācijā, līdz ar to nav saprotams, kā attiecīgās normas tiks pārņemtas. Vienlaikus norādām, ka minētās direktīvas pārņemšanas termiņš, proti, 2025. gada 21. maijs, ir salīdzinoši īss, jo īpaši, ja ņem vērā, ka attiecīgās prasības ir jāpārņem savlaicīgi, tostarp arī ar likuma regulējumu, turklāt vairākas minētās direktīvas prasības bija jāpārņem līdz 2024. gada 1. jūlijam (sk. direktīvas Nr. 2023/2413 5. panta 1. punkta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 Skaidrojam, ka attiecīgā norma tiks pārņemta, izstrādājot grozījumus Elektroenerģijas tirgus likumā, jo tas satur normas par izcelsmes apliecinājumu izsniegšanu elektroenerģijas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5.4. sadaļas 1. tabulu ar informāciju par direktīvas Nr. 2023/2413 1. pantā izteiktā direktīvas Nr. 2018/2001 2. panta otrās daļas 14.b punkta, 3. panta 3. punkta pirmās daļas,  4.a punkta, 9. panta 7.a punkta, 15. panta 1., 2., 8. punkta, 15.a-15.e panta, 16. panta 4., 6.-9. punkta, 16.a-16.f panta, 19. panta 2.-4., 7., 8. punkta, 20. panta 3. punkta, 20.a panta, 22.a, 22.b panta, 23. panta 1., 1.a un 1.b punkta, 2. punkta ievaddaļa, 4. punkta, 24. panta (izņemot 1. un 2. punktu), 25.-28. panta u.c. vienību kuras attiecināmas uz Eiropas Savienības dalībvalstīm, bet nav skaidrotas 2024. gada 13. jūnija likuma "Grozījumi Enerģētikas likumā" anotācijā, pārņemšanu nacionālajā tiesību sistēmā (noteikumu projektā). Kā arī lūdzam papildināt aili (sniegt skaidrojumu) par direktīvas  Nr. 2023/2413 1. pantā izteiktā direktīvas Nr. 2018/2001 3. panta 3.a punktā u.c. (par ko informācija nav jau atspoguļota iepriekš minētā likuma anotācijā) ietvertās rīcības brīvības izmantošanu vai neizmantošanu likumprojektā, tostarp sniedzot apsvērumus rīcības brīvības izmantošanai vai neizmantošanai.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šī likumprojekta anotācija nav Direktīvas 2023/2413 korelācijas tabula, līdz ar to anotācijas 5.punktā netiks iekļauta informācija par šādiem Direktīvas 2018/2001 (konsolidētā versija) nosacījumiem: direktīvas Nr. 2018/2001 3. panta 3. punkta pirmās daļas,  4.a punkta, 9. panta 7.a punkta, 15. panta 1., 2., 8. punkta, 15.a-15.e panta, 16. panta 4., 6.-9. punkta, 16.a-16.f panta, 19. panta 2.-4., 7., 8. punkta, 20. panta 3. punkta, 20.a panta, 22.a, 22.b panta, 23. panta 1., 1.a un 1.b punkta, 2. punkta ievaddaļa, 4. punkta, 24. panta (izņemot 1. un 2. punktu), 25.-28. panta u.c. vienību kuras attiecināmas uz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anotācijā netiks iekļauta informāciju par citiem tiesību aktiem, ar kuriem ir / tiks transponēta Direktīva 2023/2413.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Tieslietu ministrijas uzmanību uz to, ka direktīvas transponēšanas termiņš ir 2025. gada 21. maijs. Līdz ar to Tieslietu ministrijas iebildumā pieprasītais attiecībā uz pilnīgu Direktīvas 2023/2413 transponēšanas mehānismu uzrādīšanu 6 mēnešus pirms transponēšanas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vairākkārtīgi iesniegusi Direktīvas 2023/2413 un Direktīvas 2018/2001 korelācijas tabulas un ir iesniegtas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aktu projektiem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6. un 7. pants, ar kuru Enerģētikas likuma (turpmāk - Likums) 58.</w:t>
            </w:r>
            <w:r w:rsidR="00000000" w:rsidRPr="00000000" w:rsidDel="00000000">
              <w:rPr>
                <w:vertAlign w:val="superscript"/>
                <w:rtl w:val="0"/>
              </w:rPr>
              <w:t xml:space="preserve">5</w:t>
            </w:r>
            <w:r w:rsidR="00000000" w:rsidRPr="00000000" w:rsidDel="00000000">
              <w:rPr>
                <w:rtl w:val="0"/>
              </w:rPr>
              <w:t xml:space="preserve"> panta septītā daļa tiek izteikta jaunā redakcijā un 58.</w:t>
            </w:r>
            <w:r w:rsidR="00000000" w:rsidRPr="00000000" w:rsidDel="00000000">
              <w:rPr>
                <w:vertAlign w:val="superscript"/>
                <w:rtl w:val="0"/>
              </w:rPr>
              <w:t xml:space="preserve">5</w:t>
            </w:r>
            <w:r w:rsidR="00000000" w:rsidRPr="00000000" w:rsidDel="00000000">
              <w:rPr>
                <w:rtl w:val="0"/>
              </w:rPr>
              <w:t xml:space="preserve"> pants tiek papildināts ar astoto daļu, kā arī likumprojekta 9. pants, ar kuru Likums tiek papildināts ar 58.</w:t>
            </w:r>
            <w:r w:rsidR="00000000" w:rsidRPr="00000000" w:rsidDel="00000000">
              <w:rPr>
                <w:vertAlign w:val="superscript"/>
                <w:rtl w:val="0"/>
              </w:rPr>
              <w:t xml:space="preserve">11</w:t>
            </w:r>
            <w:r w:rsidR="00000000" w:rsidRPr="00000000" w:rsidDel="00000000">
              <w:rPr>
                <w:rtl w:val="0"/>
              </w:rPr>
              <w:t xml:space="preserve"> pantu un 58.</w:t>
            </w:r>
            <w:r w:rsidR="00000000" w:rsidRPr="00000000" w:rsidDel="00000000">
              <w:rPr>
                <w:vertAlign w:val="superscript"/>
                <w:rtl w:val="0"/>
              </w:rPr>
              <w:t xml:space="preserve">12</w:t>
            </w:r>
            <w:r w:rsidR="00000000" w:rsidRPr="00000000" w:rsidDel="00000000">
              <w:rPr>
                <w:rtl w:val="0"/>
              </w:rPr>
              <w:t xml:space="preserve"> pants ar piekto daļu,  kas paredz informācijas sniegšanas pienākumu, lūdzu, veikt iekļauto informācijas sniegšanas pienākumu vērtējumu un atbilstoši vērtējumam veikt administratīvo izmaksu monetāru novērtējumu, kas aizpildāms par valsts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7.sadaļa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jaunās Enerģētikas likuma 58.</w:t>
            </w:r>
            <w:r w:rsidR="00000000" w:rsidRPr="00000000" w:rsidDel="00000000">
              <w:rPr>
                <w:vertAlign w:val="superscript"/>
                <w:rtl w:val="0"/>
              </w:rPr>
              <w:t xml:space="preserve">5</w:t>
            </w:r>
            <w:r w:rsidR="00000000" w:rsidRPr="00000000" w:rsidDel="00000000">
              <w:rPr>
                <w:rtl w:val="0"/>
              </w:rPr>
              <w:t xml:space="preserve"> panta 7.daļas redakcija un jaunai 8.pants nenoteiks papildu pienākumu, jo, kā skaidrots Enerģētikas likuma, kas stājās spēkā 2024.gada 14.jūlijā, anotācijā un šī likumprojekta anotācijā, atbalsta shēmu apvienošana Latvijā netiek plānota un šie nosacījumi Latvijas tiesību aktos tiek noteikti tikai direktīvas transponēšanai.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58.</w:t>
            </w:r>
            <w:r w:rsidR="00000000" w:rsidRPr="00000000" w:rsidDel="00000000">
              <w:rPr>
                <w:vertAlign w:val="superscript"/>
                <w:rtl w:val="0"/>
              </w:rPr>
              <w:t xml:space="preserve">11</w:t>
            </w:r>
            <w:r w:rsidR="00000000" w:rsidRPr="00000000" w:rsidDel="00000000">
              <w:rPr>
                <w:rtl w:val="0"/>
              </w:rPr>
              <w:t xml:space="preserve"> pants neparedzēs būtiskas papildus prasības vai pienākumus, kas varētu ietekmēt iestādes izdevumus, jo pirmsšķietami tādas atbalsta shēmas tieši minēto atjaunīgās enerģijas veidu izmantošanai Latvijai tuvākajā nākotnē netiks ieviestas, līdz ar to arī šie nosacījumi Latvijas tiesību aktos vairāk tiek noteikti direktīvas nosacījumu transponēšanai.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šādas atbalsta shēmas tiktu ieviestas, tad Ministrijai būs tikai jāapkopo informācija, kas ir iekļauta tiesību aktu vai normatīvo aktu anotācijās un jāiesniedz Eiropas Komisijā apkopojums. Šie jaunie uzdevumi ministrijai būs jāveic savu pienākumu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Enerģētikas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vērš ministrijas uzmanību uz nepieciešamu labojumu Enerģētikas likuma regulējumā, kas nav iekļauts pašreizējā likumprojekta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1173. panta 11. daļā pašlaik ir noteikts, ka vienotais dabasgāzes pārvades un uzglabāšanas sistēmas operators veic arī citās Eiropas Savienības dalībvalstīs un Šveicē izsniegtu Eiropas Enerģijas sertifikātu sistēmas gāzes izcelsmes apliecinājumu atzīšanu. Vienotais dabasgāzes pārvades un uzglabāšanas sistēmas operators var slēgt līgumu ar citas Eiropas Savienības dalībvalsts izraudzīto kompetento gāzes izcelsmes apliecinājumu izdevējiestādi, kura nav Eiropas Enerģijas sertifikātu sistēmas biedrs, par izraudzītās kompetentās iestādes izsniegto gāzes izcelsmes apliecinājumu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norāda, ka tās sadarbības ar AIB un dalības Eiropas enerģijas sertifikātu sistēmas (EECS) ietvaros tā atzīst gāzes izcelsmes apliecinājumus, kas izdoti ne tikai Eiropas Savienības dalībvalstīs un Šveicē, bet arī Eiropas ekonomiskās zonas dalībvalstīs – Islandē, Norvēģijā un Lihtenšteinā – izdotus gāzes izcelsmes apliecinājumus.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akciju sabiedrība “Conexus Baltic Grid” iebilst, ka Enerģētikas likuma 1173. panta 11. daļā, kā arī citviet Enerģētikas likumā, ir jānorāda, ka Latvijas gāzes izcelsmes apliecinājumu sistēmas operators – vienotais dabasgāzes pārvades un uzglabāšanas sistēmas operators – veic Eiropas Savienības dalībvalstīs, Eiropas ekonomiskās zonas dalībvalstīs, kā arī Šveicē izdotu gāzes izcelsmes apliecinājumu atzīšanu.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117</w:t>
            </w:r>
            <w:r w:rsidR="00000000" w:rsidRPr="00000000" w:rsidDel="00000000">
              <w:rPr>
                <w:vertAlign w:val="superscript"/>
                <w:rtl w:val="0"/>
              </w:rPr>
              <w:t xml:space="preserve">3</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Vienotais dabasgāzes pārvades un uzglabāšanas sistēmas operators veic arī citās Eiropas Savienības dalībvalstīs, Eiropas ekonomiskās zonas dalībvalstīs un Šveicē izsniegtu Eiropas Enerģijas sertifikātu sistēmas gāzes izcelsmes apliecinājumu atzīšanu. Vienotais dabasgāzes pārvades un uzglabāšanas sistēmas operators var slēgt līgumu ar citas Eiropas Savienības dalībvalsts izraudzīto kompetento gāzes izcelsmes apliecinājumu izdevējiestādi, kura nav Eiropas Enerģijas sertifikātu sistēmas biedrs, par izraudzītās kompetentās iestādes izsniegto gāzes izcelsmes apliecinājumu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 Tajā ietverti grozījumi Enerģētikas likuma 117.</w:t>
            </w:r>
            <w:r w:rsidR="00000000" w:rsidRPr="00000000" w:rsidDel="00000000">
              <w:rPr>
                <w:vertAlign w:val="superscript"/>
                <w:rtl w:val="0"/>
              </w:rPr>
              <w:t xml:space="preserve">3</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Enerģētikas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Enerģētikas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(LSUA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nodotajā Likumprojekta redakcijā LSUA nav konstatējusi nozares darbību ietekmējošus nosacījumus. LSUA ieskatā Likumprojekta sarežģītās valodas un formulējumu dēļ ir grūti saprotams ne tikai grozījumu projekta mērķis, bet arī nav skaidri un nepārprotami uztverams, kāda ir piedāvājuma ietekme uz nozares darbu. Līdz ar to asociācija aicina pirms likumprojekta publiskošanas rūpīgi izvērtēt, vai sagatavotais priekšlikuma teksts ir skaidrs, nepārprotams, viennozīmīgs, viegli uztverams un pārskatāms un rada nepārprotamu izpratni par izmaiņām un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Enerģētikas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Enerģētikas likumā (Latvijas Republikas Saeimas un Ministru Kabineta Ziņotājs, 1998, 20. nr.; 2000, 17. nr.; 2001, 12. nr.; 2005, 8., 13. nr.; 2008, 14. nr.; 2009, 2., 14. nr.; Latvijas Vēstnesis, 2010, 82., 106. nr.; 2011, 36., 161. nr.; 2012, 186. nr.; 2014, 60. nr.; 2016, 37., 52. nr.; 2018, 76. nr.; 2019, 212., 214., 240. nr.; 2021, 22. nr.; 2022, 78.A, 137.A, 144. nr.; 2023, 231., 247. nr.; 2024, 67., 124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2024.gada 17.decembrī atkārtotai saskaņošanai pieteiktajā Likumprojektā ir ietvertas pēc būtības jaunas tiesību normas saistībā ar aukstumapgādi, Regulatora funkciju paplašinājumu u.c. grozījumi, kuri iepriekš netika skatīti, bet ir būtiski nozares regulējumam. Šāda satura grozījumu saskaņošanai nepieciešams ilgāks laiks (iedotas ir piecas darbadienas kā atkārtots Likumprojekts), lai izzinātu ieinteresēto pušu viedokļus. Regulators aicina Klimata un enerģētikas ministriju veikt savlaicīgas konsultācijas ar Regulatoru pirms tādu Enerģētikas likuma grozījumu piedāvāšanas, kuri paredz potenciāli jaunus pienākumus Regulatoram.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tika organizēta saruna par efektīvas centralizētās siltumapgādes un aukstumapgādes uzraudzības funkcijas nodošanu Regulatoram. Nepieciešamības gadījumā tiks organizētas papildus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Enerģētikas likumā (Latvijas Republikas Saeimas un Ministru Kabineta Ziņotājs, 1998, 20. nr.; 2000, 17. nr.; 2001, 12. nr.; 2005, 8., 13. nr.; 2008, 14. nr.; 2009, 2., 14. nr.; Latvijas Vēstnesis, 2010, 82., 106. nr.; 2011, 36., 161. nr.; 2012, 186. nr.; 2014, 60. nr.; 2016, 37., 52. nr.; 2018, 76. nr.; 2019, 212., 214., 240. nr.; 2021, 22. nr.; 2022, 78.A, 137.A, 144. nr.; 2023, 231., 247. nr.; 2024, 67., 124., 181A., 242.5.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w:t>
            </w:r>
            <w:r w:rsidR="00000000" w:rsidRPr="00000000" w:rsidDel="00000000">
              <w:rPr>
                <w:vertAlign w:val="superscript"/>
                <w:rtl w:val="0"/>
              </w:rPr>
              <w:t xml:space="preserve">1</w:t>
            </w:r>
            <w:r w:rsidR="00000000" w:rsidRPr="00000000" w:rsidDel="00000000">
              <w:rPr>
                <w:rtl w:val="0"/>
              </w:rPr>
              <w:t xml:space="preserve">) rūpnieciskie apaļkoki - zāģbaļķi, finierkluči, papīrmalka (apaļkoku vai šķeltā veidā), kā arī citi apaļkoki, kas ir derīgi rūpnieciskai izmantošanai, izņemot apaļkokus, kuru raksturlielumi, piemēram, suga, izmēri, taisnums un zarainums, tos dara nederīgus rūpnieciskai izmantošanai, ko atkarībā no attiecīgajiem meža un tirgus apstākļiem definē un pienācīgi pamato dalībvalstis;".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ņemt vērā, ka tiešā tekstā rūpniecisko apaļkoku definīcija, kas ietverta Eiropas Parlamenta un Padomes 2023.gada 18.oktobra direktīvas (ES) 2023/2413, ar ko attiecībā uz atjaunīgo energoresursu enerģijas izmantošanas veicināšanu groza Direktīvu (ES) 2018/2001, Regulu (ES) 2018/1999 un Direktīvu 98/70/EK un atceļ Padomes Direktīvu (ES) 2015/652, nav izmantojama nacionālajā tiesiskajā regulējumā. Likumprojekts ir izstrādāts, lai noteiktu tiesisko regulējumu nacionālajā līmenī, līdz ar to noteikumi, kas paredz citas “dalībvalsts” iespēju noteikt izņēmumus Latvijā spēkā esošajam tiesiskajam regulējumam, neatbilst ne juridiskai tehnikai, ne ir salāgojami ar normatīvo aktu hierarhiju un nerada tiesisko noteiktību, līdz ar to šāda definīcija nav izmantojama, lai noteiktu attiecīgā jēdziena būtību un skaidrojumu. Minētā definīcija Likumprojektā rada neskaidrību par to, kas tad tieši ietilpst jēdzienā “rūpnieciskie apaļkoki”, ņemot vērā to, ka Likumprojektā ietvertā definīcija paredz, ka izņēmumi, kas noteic pazīmes, kuru dēļ uz rūpnieciskajiem apaļkokiem neattiecas Enerģētikas likuma 58.</w:t>
            </w:r>
            <w:r w:rsidR="00000000" w:rsidRPr="00000000" w:rsidDel="00000000">
              <w:rPr>
                <w:vertAlign w:val="superscript"/>
                <w:rtl w:val="0"/>
              </w:rPr>
              <w:t xml:space="preserve">11</w:t>
            </w:r>
            <w:r w:rsidR="00000000" w:rsidRPr="00000000" w:rsidDel="00000000">
              <w:rPr>
                <w:rtl w:val="0"/>
              </w:rPr>
              <w:t xml:space="preserve"> panta desmitā daļa, ir jānosaka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un likumprojekta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w:t>
            </w:r>
            <w:r w:rsidR="00000000" w:rsidRPr="00000000" w:rsidDel="00000000">
              <w:rPr>
                <w:vertAlign w:val="superscript"/>
                <w:rtl w:val="0"/>
              </w:rPr>
              <w:t xml:space="preserve">1</w:t>
            </w:r>
            <w:r w:rsidR="00000000" w:rsidRPr="00000000" w:rsidDel="00000000">
              <w:rPr>
                <w:rtl w:val="0"/>
              </w:rPr>
              <w:t xml:space="preserve">) rūpnieciskie apaļkoki - zāģbaļķi, finierkluči, papīrmalka (apaļkoku vai šķeltā veidā), kā arī citi apaļkoki, kas ir derīgi rūpnieciskai izmantošanai, izņemot apaļkokus, kuru raksturlielumi, piemēram, suga, izmēri, taisnums un zarainums, tos dara nederīgus rūpnieciskai izmantošanai, ko atkarībā no attiecīgajiem meža un tirgus apstākļiem definē un pienācīgi pamato dalībvalstis;".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nozares piedāvāto definīciju un ciktāl iespējams saskaņot ar nozari pirms likumprojekta tālākas virzības.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rūpnieciskie apaļkoki –apaļie kokmateriāli, kas  atbilst Latvijas valsts standartam noteiktajām visu sugu zāģbaļķu, finierkluču, stabu, mietu, būvbalķu un taras kluču kvalitātes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 panta pirmās daļas definīcija izslēgta saskaņā ar juridiskās tehnikas nosacījumiem, to iestrādājot Likumprojekta 6. pantā, ņemot vērā, ka "rūpnieciskie apaļie kokmateriāli" tiek lietots tikai vienā vietā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skaņots ar Zemkopības ministriju pirms tā publicēšanas sabiedriskajai apspriedei. Likumprojekts tika publicēts sabiedriskajai apspriedei, un nozare izteica savu viedokli par to. Iebildumu vai priekšlikumu par šo definīciju nozares pārstāvjiem nebija.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w:t>
            </w:r>
            <w:r w:rsidR="00000000" w:rsidRPr="00000000" w:rsidDel="00000000">
              <w:rPr>
                <w:vertAlign w:val="superscript"/>
                <w:rtl w:val="0"/>
              </w:rPr>
              <w:t xml:space="preserve">1</w:t>
            </w:r>
            <w:r w:rsidR="00000000" w:rsidRPr="00000000" w:rsidDel="00000000">
              <w:rPr>
                <w:rtl w:val="0"/>
              </w:rPr>
              <w:t xml:space="preserve">) rūpnieciskie apaļkoki - apaļie kokmateriāli, kas atbilst standartos apaļkoku kvalitātes noteikšanas jomā, standartos zāģmateriālu un konstrukciju kokmateriālu kvalitātes noteikšanas jomā vai standartos saplākšņu un finieru vērtētēšanas jomā noteiktajām visu sugu zāģbaļķu, finierkluču, stabu, mietu, būvbalķu un taras kluču kvalitātes prasībām, kā arī citi apaļkoki, kas ir derīgi rūpnieciskai izmantošanai, izņemot apaļkokus, kuru raksturlielumi, piemēram, suga, izmēri, taisnums un zarainums, tos dara nederīgus rūpnieciskai izmantošanai, un kuri neatbilst standartos apaļkoku kvalitātes noteikšanas jomā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definīcija nav pietiekami saprotama. Lūdzam izvērtēt un ņemt vērā Latvijas Kokmateriālu ražotāju un tirgotāju asociācijas piekšlikums, vai arī Ekonomikas ministrijas iepriekšējā aprites ciklā iesniegto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minētās definīcijas ekonomisko ietekmi, ierosinām sarīkot saskaņošanas sanāksmi par šo jautājumu ar nozari, Zemkopības ministriju un Ekonomikas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 panta pirmās daļas definīcija izslēgta saskaņā ar juridiskās tehnikas nosacījumiem, to iestrādājot Likumprojekta 6. pantā, ņemot vērā, ka "rūpnieciskie apaļie kokmateriāli" tiek lietots tikai vienā vietā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Ekonomikas skatīt skaidrojumu anotācijā. Likumprojektā iekļautie kaskadēšanas nosacījumi netiks attiecināti uz vispārējo biomasas izmantošanu, t.i. tie nebūs kā kritērijs vai rādītājs biomasas izmantošanai rūpniecībā vai enerģētikā vai kā aizliegums rūpniecisko apaļkoksni izmantot enerģētikā. Tas nebūs arī kā kritērijs, lai gadījumos, ja rūpnieciskā apaļkoksne tiek izmantota enerģētikā, jo pēc tās kvalitātes tā nav izmantojama rūpniecībā, to uzskatītu par fosilo kurināmo vai neilgtspējīgu kurināmo.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un tā anotācijā ir konkrēti pateikts, ka likumprojektā iekļautie nosacījumi ir jāņem vērā atbalsta shēmu nosacījumos, piemēram, atbalsta programmās biomasas izmantošanai (tieši biomasas kā kurināmā izmantošanai, nevis, piemēram, biomasas tehnoloģiju iegādei / uzstādīšanai), līdz ar to atbilstoši likumprojektam, ja tiek izstrādāta kāda atbalsta shēma tieši biomasas izmantošanai, tad šādas atbalsta shēmas nosacījumos būs jānosaka, ka atbalsts netiek piešķirts, ja enerģijas ražošanai tiek izmantoti rūpnieciskie apaļkoki, un šādu atbalsta shēmu ietvaros komersantam, kas saņem tiešu finansiālu atbalstu, būs jāpierāda, ka tas šādus apaļkokus neizmanto. Bet šie nosacījumi nav uzskatāmi par vispārīgo nosacījumu biomasas kurināmā izmantošanas aizliegumam vai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w:t>
            </w:r>
            <w:r w:rsidR="00000000" w:rsidRPr="00000000" w:rsidDel="00000000">
              <w:rPr>
                <w:b w:val="1"/>
                <w:rtl w:val="0"/>
              </w:rPr>
              <w:t xml:space="preserve">energoapgāde</w:t>
            </w:r>
            <w:r w:rsidR="00000000" w:rsidRPr="00000000" w:rsidDel="00000000">
              <w:rPr>
                <w:rtl w:val="0"/>
              </w:rPr>
              <w:t xml:space="preserve"> - enerģētikas jomā veicama komercdarbība, kuru nepieciešams licencēt vai reģistrēt un kura ietver elektroenerģijas, siltumenerģijas vai aukstumenerģijas ražošanu, dabasgāzes ieguvi, elektroenerģijas, siltumenerģijas, aukstumenerģijas vai dabasgāzes iepirkšanu, pārveidi, uzglabāšanu, pārvadi, sadali vai tirdzniecību;".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ietvert anotācijā skaidrojumu, kad plānots izstrādāt normatīvos aktus, kuri noteiktu to, ko Regulatoram būtu jālicencē vai jāreģistrē austumapgādes nozarē, paredzot šādu izstrādi veikt līdztekus pirmās aukstumapgādes sistēmas darbības ieviešanai, vai arī normatīvo aktu izstrāde paredzēta arī tad, ja šādas aukstumsistēmas Latvijā netiek ieviestas.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visu normatīvo aktu izstrādi, kas noteiks to, ko Regulatoram būtu jālicencē vai jāreģistrē aukstumapgādes nozarē, norādām, ka normatīvie akti tiks pakāpeniski izstrādāti jau šobrīd. Proti, šobrīd Latvijā nav izveidotas centralizētas aukstumapgādes sistēmas, bet, nākotnē tādām veidojoties, būs nepieciešams regulējums. Attiecīgi regulējumu nepieciešams sagatavot, lai tad, kad šādas sistēmas tiks veidotas, jau būtu ieviesti pamata principi un nosacījumi, uz kuriem komersantam balstīties, plānojot savu attīstību. Tā pat Latvijai ir nepieciešams transponēt nacionālajos tiesību aktos normas, kuras nosaka Direktīva Nr.2023/1791 attiecībā uz līgumos iekļaujamo informāciju centralizētās aukstumapgādes pakalpojumu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šobrīd vēl nepastāv minētās sistēmas un tuvākajā laikā nav indikāciju, ka tiks izveidotas lielas sistēmas (tādas, kas pēc analoģijas ar siltumapgādes sektoru būtu regulējamas), Ministrija ir gatava izvērtēt un noteikt saprātīgu termiņu visa regulējuma izstrādei. Pēc likumprojekta apstiprināšanas tiks uzsākts darbs pie attiecīgajiem ministru kabineta noteikumiem un grozījumiem MK noteikumos Nr.1227. Savukārt attiecībā uz prasību Regulatoram izstrādāt tarifu noteikšanas metodiku aukstumapgādē (Likumprojektā ietvertie grozījumi Likuma 6. panta 3.1 daļā), ar pārejas punktu noteikts termiņš 2027. gada beigas.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w:t>
            </w:r>
            <w:r w:rsidR="00000000" w:rsidRPr="00000000" w:rsidDel="00000000">
              <w:rPr>
                <w:b w:val="1"/>
                <w:rtl w:val="0"/>
              </w:rPr>
              <w:t xml:space="preserve">energoapgāde</w:t>
            </w:r>
            <w:r w:rsidR="00000000" w:rsidRPr="00000000" w:rsidDel="00000000">
              <w:rPr>
                <w:rtl w:val="0"/>
              </w:rPr>
              <w:t xml:space="preserve"> - enerģētikas jomā veicama komercdarbība, kuru nepieciešams licencēt vai reģistrēt un kura ietver elektroenerģijas, siltumenerģijas vai aukstumenerģijas ražošanu, dabasgāzes ieguvi, elektroenerģijas, siltumenerģijas, aukstumenerģijas vai dabasgāzes iepirkšanu, pārveidi, uzglabāšanu, pārvadi, sadali vai tirdzniecību;".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 saskaņo šā panta sestajā daļā minētos atbalsta shēmas nosacījumus ar citas Eiropas Savienības dalībvalsts kompetento iestādi, saskaņojot arī atjaunīgās enerģijas apjoma pārdali iesaistīto dalībvalstu atjaunīgās enerģijas datos, un par minētās atbalsta shēmas nosacījumiem trīs mēnešu laikā pēc pirmā gada, kad atbalsta shēmas nosacījumi ir stājušies spēkā, paziņo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2.pantu, kas izsaka likuma 58.</w:t>
            </w:r>
            <w:r w:rsidR="00000000" w:rsidRPr="00000000" w:rsidDel="00000000">
              <w:rPr>
                <w:vertAlign w:val="superscript"/>
                <w:rtl w:val="0"/>
              </w:rPr>
              <w:t xml:space="preserve">5</w:t>
            </w:r>
            <w:r w:rsidR="00000000" w:rsidRPr="00000000" w:rsidDel="00000000">
              <w:rPr>
                <w:rtl w:val="0"/>
              </w:rPr>
              <w:t xml:space="preserve"> panta septīto daļu jaunā redakcijā, precizēt, norādot daļas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(7)</w:t>
            </w:r>
            <w:r w:rsidR="00000000" w:rsidRPr="00000000" w:rsidDel="00000000">
              <w:rPr>
                <w:rtl w:val="0"/>
              </w:rPr>
              <w:t xml:space="preserve"> Klimata un enerģētikas ministrija saskaņo šā panta sestajā daļā minētos atbalsta shēmas nosacījumus ar citas Eiropas Savienības dalībvalsts kompetento iestādi, saskaņojot arī atjaunīgās enerģijas apjoma pārdali iesaistīto dalībvalstu atjaunīgās enerģijas datos, un par minētās atbalsta shēmas nosacījumiem trīs mēnešu laikā pēc pirmā gada, kad atbalsta shēmas nosacījumi ir stājušies spēkā, paziņo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 katru gadu līdz 31. martam paziņo Eiropas Komisijai (un publisko minēto paziņojumu) par to atjaunīgās elektroenerģijas vai atjaunīgās siltumapgādei vai aukstumapgādei izmantotās enerģijas kopējo apjomu, uz kuru attiecas šā panta septītajā daļā minētā atjaunīgās enerģijas apjoma pārdale.".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3.pantu, kas papildina likuma 58.</w:t>
            </w:r>
            <w:r w:rsidR="00000000" w:rsidRPr="00000000" w:rsidDel="00000000">
              <w:rPr>
                <w:vertAlign w:val="superscript"/>
                <w:rtl w:val="0"/>
              </w:rPr>
              <w:t xml:space="preserve">5</w:t>
            </w:r>
            <w:r w:rsidR="00000000" w:rsidRPr="00000000" w:rsidDel="00000000">
              <w:rPr>
                <w:rtl w:val="0"/>
              </w:rPr>
              <w:t xml:space="preserve"> pantu ar astoto daļu, precizēt, norādot panta daļas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(8) </w:t>
            </w:r>
            <w:r w:rsidR="00000000" w:rsidRPr="00000000" w:rsidDel="00000000">
              <w:rPr>
                <w:rtl w:val="0"/>
              </w:rPr>
              <w:t xml:space="preserve">Klimata un enerģētikas ministrija katru gadu līdz 31. martam paziņo Eiropas Komisijai (un publisko minēto paziņojumu) par to atjaunīgās elektroenerģijas vai atjaunīgās siltumapgādei vai aukstumapgādei izmantotās enerģijas kopējo apjomu, uz kuru attiecas šā panta septītajā daļā minētā atjaunīgās enerģijas apjoma pārdale."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Klimata un enerģētikas ministrija katru gadu līdz 31. martam paziņo Eiropas Komisijai un savā tīmekļvietnē publisko minēto paziņojumu par to atjaunīgās elektroenerģijas vai atjaunīgās siltumapgādei vai aukstumapgādei izmantotās enerģijas kopējo apjomu, uz kuru attiecas šā panta septītajā daļā minētā atjaunīgās enerģijas apjoma pārdale.".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 katru gadu līdz 31. martam paziņo Eiropas Komisijai (un publisko minēto paziņojumu) par to atjaunīgās elektroenerģijas vai atjaunīgās siltumapgādei vai aukstumapgādei izmantotās enerģijas kopējo apjomu, uz kuru attiecas šā panta septītajā daļā minētā atjaunīgās enerģijas apjoma pārdale.".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pieturzīmi iekavas, jo tās nav nepieciešamas. Kā arī lūdzam likumprojektā norādīt, kur tiek publicēts attiecīgais paziņojums (tīmekļvietnē vai, piemēram,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Klimata un enerģētikas ministrija katru gadu līdz 31. martam paziņo Eiropas Komisijai un savā tīmekļvietnē publisko minēto paziņojumu par to atjaunīgās elektroenerģijas vai atjaunīgās siltumapgādei vai aukstumapgādei izmantotās enerģijas kopējo apjomu, uz kuru attiecas šā panta septītajā daļā minētā atjaunīgās enerģijas apjoma pārdale.".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Ministru kabinets nosaka nosacījumus un kārtību, kādā lielie uzņēmumi var iesaistīties elektroenerģijas kopīgošanā."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likumprojekta 4. pantu, termina "uzņēmumi" vietā izmantojot terminu "komersanti" vai "saimnieciskās darbības veicēji".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nacionāla līmeņa tiesību aktos šobrīd nav definēti mazie, vidējie un lielie uzņēmumi. Vienlaikus praksē ir saprotams, kādi saimnieciskās darbības veicēji tiek apzīmēti ar terminu "lielie uzņēmumi", līdz ar to Likumprojektā ir izvēlēts izmantot Eiropas Savienības tiesību aktos ietverto terminoloģiju, kas tiek izmantota ar nacionāla līmeņa praksē, piemēram, Eiropas Savienības līdzfinansēto atbalsta programmu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Ministru kabinets nosaka nosacījumus un kārtību, kādā lielie uzņēmumi var iesaistīties elektroenerģijas kopīgošanā."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skaidrot likumprojekta 4. pantā ietvertā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tādējādi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veikusi izvērtējumu, secinot, ka specifisks deleģējums izstrādāt kārtību, kādā lielie uzņēmumi varētu nodarboties ar elektroenerģijas kopīgošanu,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attiecībā uz elektroenerģijas kopīgošanu lielajiem uzņēmumiem būtu piemērojami nosacījumi un kārtība, kas ietverti 2024.gada 10.decembra Ministru kabineta noteikumos Nr.808 "Energokopienu reģistrēšanas un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likumprojekta 5. pantu,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58.</w:t>
            </w:r>
            <w:r w:rsidR="00000000" w:rsidRPr="00000000" w:rsidDel="00000000">
              <w:rPr>
                <w:vertAlign w:val="superscript"/>
                <w:rtl w:val="0"/>
              </w:rPr>
              <w:t xml:space="preserve">11</w:t>
            </w:r>
            <w:r w:rsidR="00000000" w:rsidRPr="00000000" w:rsidDel="00000000">
              <w:rPr>
                <w:rtl w:val="0"/>
              </w:rPr>
              <w:t xml:space="preserve"> pantu ar jaunu sesto, septīto, astoto, devīto, desmito, vienpadsmito un divpadsmito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58.11 pantu ar jaunu trīspadsmito daļu šādā redakcijā: "Iestādes, izstrādājot attiecīgos tiesību aktus nacionālajām atbalsta shēmām, nesniedz finansiālus stimulus ar fosilo kurināmo darbināmo autonomo katlu uzstādīšanai." Paskaidrojam, ka Eiropas Parlamenta un Padomes Direktīva (ES) 2024/1275 (2024.gada 24.aprīlis) par ēku energosniegumu 17.panta 15.punkts paredz minētā pienākuma ieviešanu, proti: "No 2025. gada 1. janvāra dalībvalstis saskaņā ar Regulas (ES) 2021/241 7. panta 1. punkta h) apakšpunkta i) punkta trešo ievilkumu Regulā (ES) 2021/1058 un 73. pantu Eiropas Parlamenta un Padomes Regulā (ES) 2021/2115 ( 32) nesniedz finansiālus stimulus ar fosilo kurināmo darbināmu autonomo katlu uzstādīšanai, izņemot tos, kas investīcijām izraudzīti pirms 2025. gada." Atbilstoši Direktīvas 35.panta 1.punkta otrajai daļai: "Dalībvalstīs stājas spēkā normatīvie un administratīvie akti, kas vajadzīgi, lai izpildītu 17. panta 15. punkta prasības, līdz 2025.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Iestādes, izstrādājot attiecīgos tiesību aktus nacionālajām atbalsta shēmām, nesniedz finansiālus stimulus ar fosilo kurināmo darbināmo autonomo katlu uzstādīšanai."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58.</w:t>
            </w:r>
            <w:r w:rsidR="00000000" w:rsidRPr="00000000" w:rsidDel="00000000">
              <w:rPr>
                <w:vertAlign w:val="superscript"/>
                <w:rtl w:val="0"/>
              </w:rPr>
              <w:t xml:space="preserve">11</w:t>
            </w:r>
            <w:r w:rsidR="00000000" w:rsidRPr="00000000" w:rsidDel="00000000">
              <w:rPr>
                <w:rtl w:val="0"/>
              </w:rPr>
              <w:t xml:space="preserve"> pantu ar jaunu sesto, septīto, astoto, devīto, desmito, vienpadsmito, divpadsmito un trīspadsmito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58.</w:t>
            </w:r>
            <w:r w:rsidR="00000000" w:rsidRPr="00000000" w:rsidDel="00000000">
              <w:rPr>
                <w:vertAlign w:val="superscript"/>
                <w:rtl w:val="0"/>
              </w:rPr>
              <w:t xml:space="preserve">11</w:t>
            </w:r>
            <w:r w:rsidR="00000000" w:rsidRPr="00000000" w:rsidDel="00000000">
              <w:rPr>
                <w:rtl w:val="0"/>
              </w:rPr>
              <w:t xml:space="preserve"> pantu ar jaunu sesto, septīto, astoto, devīto, desmito, vienpadsmito un divpadsmito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jauno septīto daļu paredzētas atkāpes no jaunajā sestajā daļā noteicamo kaskadēšanas principa ievērošanas.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 apakšpunktu tādējādi tiktu piemērota atkāpe kopšanas cirtēm iegūtajai biomasai, ar d) apakšpunktu - lauksaimniecībā izmantojamās zemēs. Ņemot vērā, ka pie kopšanas cirtēm pieder arī krājas kopšanas cirtes (pirms galvenās cirtes), kurās ir iegūstami apaļkoki, kā arī atsevišķas situācijās arī no sen aizaugušajām lauksaimniecībā izmantojamām zemēm, automātiska atkāpes no kaskadēšanas piemērošana nav atbalstāma. Turklāt ekonomiskos apsvērumus un biomasas piemērotību vietējās kokrūpniecības tehniskajām iespējām jau noteic c) apakšpunkts, kas aptver visa veida  cirtes un meža biomasas ieguves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redakcionāli izvērtējams sestās daļas ievaddaļā vārdu "koksnes biomasas" lietojums, ņemot vērā, ka citur lietots "meža biomasas", ja nepieciešams, terminus salāgojot.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6.pantā izteiktais Enerģētikas likuma 58.</w:t>
            </w:r>
            <w:r w:rsidR="00000000" w:rsidRPr="00000000" w:rsidDel="00000000">
              <w:rPr>
                <w:vertAlign w:val="superscript"/>
                <w:rtl w:val="0"/>
              </w:rPr>
              <w:t xml:space="preserve">11</w:t>
            </w:r>
            <w:r w:rsidR="00000000" w:rsidRPr="00000000" w:rsidDel="00000000">
              <w:rPr>
                <w:rtl w:val="0"/>
              </w:rPr>
              <w:t xml:space="preserve"> panta 6.daļa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58.</w:t>
            </w:r>
            <w:r w:rsidR="00000000" w:rsidRPr="00000000" w:rsidDel="00000000">
              <w:rPr>
                <w:vertAlign w:val="superscript"/>
                <w:rtl w:val="0"/>
              </w:rPr>
              <w:t xml:space="preserve">11</w:t>
            </w:r>
            <w:r w:rsidR="00000000" w:rsidRPr="00000000" w:rsidDel="00000000">
              <w:rPr>
                <w:rtl w:val="0"/>
              </w:rPr>
              <w:t xml:space="preserve"> pantu ar jaunu sesto, septīto, astoto, devīto, desmito, vienpadsmito, divpadsmito un trīspadsmito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attiecīgos tiesību aktus nacionālo atbalsta shēmu no biodegvielām, bioloģiskajiem šķidrajiem kurināmajiem un biomasas kurināmajiem vai biomasas degvielām ražotās enerģijas izmantošanai nosacījumu noteikšanai, minētās atbalsta shēmas izstrādā tā, lai nestimulētu neilgtspējīgus ražošanas un izmantošanas paņēmienus un nekropļotu konkurenci ar materiālu nozarēm, lai nodrošinātu, ka koksnes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minētos atbalsta shēmu nosacījumus, var tajos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kas ir lielāka nekā enerģijas ražošanai,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 vai kopšanas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nozares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attiecīgā tiesību akta par atbalsta shēmu sākotnējās ietekmes novērtējuma ziņojumā (anotācijā) izskaidro, kā un kāpēc tiek piemērotas šā panta septītajā daļā minētās atkāpes kaskadēšanas principa piemērošanas secībai, un pēc konkrētā tiesību akta spēkā stāšanos par to informē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rūpniecisko apaļkoku,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 izņemot, ja šāda elektroenerģijas ražošana neatbilst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2021.gada 24.jūlija regulas (ES) 2021/1056,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pārformulēt likumprojekta 6. pantā ietverto Enerģētikas likuma 58.</w:t>
            </w:r>
            <w:r w:rsidR="00000000" w:rsidRPr="00000000" w:rsidDel="00000000">
              <w:rPr>
                <w:vertAlign w:val="superscript"/>
                <w:rtl w:val="0"/>
              </w:rPr>
              <w:t xml:space="preserve">11</w:t>
            </w:r>
            <w:r w:rsidR="00000000" w:rsidRPr="00000000" w:rsidDel="00000000">
              <w:rPr>
                <w:rtl w:val="0"/>
              </w:rPr>
              <w:t xml:space="preserve"> panta 11. daļu, izvairoties no atkārtotas nolieguma formas lietojuma ("(..) shēmas (..) </w:t>
            </w:r>
            <w:r w:rsidR="00000000" w:rsidRPr="00000000" w:rsidDel="00000000">
              <w:rPr>
                <w:u w:val="single"/>
                <w:rtl w:val="0"/>
              </w:rPr>
              <w:t xml:space="preserve">nevar</w:t>
            </w:r>
            <w:r w:rsidR="00000000" w:rsidRPr="00000000" w:rsidDel="00000000">
              <w:rPr>
                <w:rtl w:val="0"/>
              </w:rPr>
              <w:t xml:space="preserve"> atjaunot (..) izņemot, ja (..) ražošana </w:t>
            </w:r>
            <w:r w:rsidR="00000000" w:rsidRPr="00000000" w:rsidDel="00000000">
              <w:rPr>
                <w:u w:val="single"/>
                <w:rtl w:val="0"/>
              </w:rPr>
              <w:t xml:space="preserve">neatbilst</w:t>
            </w:r>
            <w:r w:rsidR="00000000" w:rsidRPr="00000000" w:rsidDel="00000000">
              <w:rPr>
                <w:rtl w:val="0"/>
              </w:rPr>
              <w:t xml:space="preserve"> vismaz vienam no šādiem nosacījumiem"), tā vietā norādot, kādos gadījumos jaunas atbalsta shēmas var tikt izstrādātas vai esošās atbalsta shēmas var atjaunot elektroenerģijas ražošanai no meža biomasas iekārtās, kurās ražo tikai elektroenerģiju, kā arī norādot, kādiem nosacījumiem jāatbilst elektroenerģijas ražošanai.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attiecīgo daļu sadalot 2 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attiecīgos tiesību aktus jaunu atbalsta shēmu no biodegvielām, bioloģiskajiem šķidrajiem kurināmajiem un biomasas kurināmajiem vai biomasas degvielām ražotās enerģijas izmantošanai nosacījumu noteikšanai, minētās atbalsta shēmas izstrādā tā, lai nestimulētu neilgtspējīgus ražošanas un izmantošanas paņēmienus un nekropļotu konkurenci ar materiālu nozarēm, lai nodrošinātu, ka meža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minētos atbalsta shēmu nosacījumus, var tajos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kas ir lielāka nekā enerģijas ražošanai,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nozares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attiecīgā tiesību akta par atbalsta shēmu sākotnējās ietekmes novērtējuma ziņojumā (anotācijā) izskaidro, kā un kāpēc tiek piemērotas šā panta septītajā daļā minētās atkāpes kaskadēšanas principa piemērošanas secībai, un pēc konkrētā tiesību akta spēkā stāšanos par to informē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rūpniecisko apaļo kokmateriālu - zāģbaļķi, finierkluči, papīrmalka (apaļkoku vai šķeltā veidā), kā arī citi apaļkoki, izmantošanai enerģijas ražošanai, izņemot apaļkokus, kuru īpatnības, piemēram, suga, izmēri, taisnums un zarainums, tos dara nederīgus rūpnieciskai izmantošanai, tostarp, kuri neatbilst visu sugu zāģbaļķu, finierkluču, stabu, mietu, būvbaļķu un taras kluču kvalitātes kritērijiem, kas ir noteikti normatīvajos aktos par koku un apaļo kokmateriālu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panta vienpadsmitā daļa netiek attiecināta uz elektroenerģijas ražošanu no meža biomasas, ja tā atbilst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 gada 24. jūlija regulas 2021/1056/ES,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 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Iestādes, izstrādājot attiecīgos tiesību aktus jaunu atbalsta programmu noteikšanai, minēto atbalsta programmu nosacījumos neiekļauj finansiālo atbalstu individuālo siltumapgādes sistēmu vai apkures iekārtu, kurā tiek izmantots tikai fosilās izcelsmes kurināmais, iegādei un uzstādīšanai."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attiecīgos tiesību aktus jaunu atbalsta shēmu no biodegvielām, bioloģiskajiem šķidrajiem kurināmajiem un biomasas kurināmajiem vai biomasas degvielām ražotās enerģijas izmantošanai nosacījumu noteikšanai, minētās atbalsta shēmas izstrādā tā, lai nestimulētu neilgtspējīgus ražošanas un izmantošanas paņēmienus un nekropļotu konkurenci ar materiālu nozarēm, lai nodrošinātu, ka meža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minētos atbalsta shēmu nosacījumus, var tajos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kas ir lielāka nekā enerģijas ražošanai,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nozares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attiecīgā tiesību akta par atbalsta shēmu sākotnējās ietekmes novērtējuma ziņojumā (anotācijā) izskaidro, kā un kāpēc tiek piemērotas šā panta septītajā daļā minētās atkāpes kaskadēšanas principa piemērošanas secībai, un pēc konkrētā tiesību akta spēkā stāšanos par to informē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rūpniecisko apaļo kokmateriālu, kas atbilst visu sugu zāģbaļķu, finierkluču, stabu, mietu, būvbaļķu un taras kluču kvalitātes kritērijiem, kas ir noteikti apaļo kokmateriālu kvalitātes standartā,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panta vienpadsmitā daļa netiek attiecināta uz elektroenerģijas ražošanu no meža biomasas, ja tā atbilst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2021.gada 24.jūlija regulas (ES) 2021/1056,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Iestādes, izstrādājot attiecīgos tiesību aktus jaunu atbalsta programmu noteikšanai, minēto atbalsta programmu nosacījumos neiekļauj finansiālo atbalstu individuālo siltumapgādes sistēmu (apkures katlu), kurā tiek izmantots tikai fosilās izcelsmes kurināmais, iegādei un uzstādīšanai."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9. pantā pieturzīmi iekavas ("(apkures katlu)")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Iestādes, izstrādājot attiecīgos tiesību aktus jaunu atbalsta shēmu no biodegvielām, bioloģiskajiem šķidrajiem kurināmajiem un biomasas kurināmajiem vai biomasas degvielām ražotās enerģijas izmantošanai nosacījumu noteikšanai, minētās atbalsta shēmas izstrādā tā, lai nestimulētu neilgtspējīgus ražošanas un izmantošanas paņēmienus un nekropļotu konkurenci ar materiālu nozarēm, lai nodrošinātu, ka meža biomasa tiek izmantota atbilstoši tās augstākajai ekonomiskajai un vidiskajai pievienotajai vērtībai, ievērojot šādu kaskadēšanas principa prioritāšu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sestajā daļā minētās iestādes, izstrādājot minētos atbalsta shēmu nosacījumus, var tajos neievērot kaskadēšanas principa prioritāšu secību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kas ir lielāka nekā enerģijas ražošanai, attiecībā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meža biomasas izejvielas, kas iegūtas sanitārajās cirtēs;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piemērotas Latvijas kokapstrādes nozares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sestajā daļā minētā iestāde attiecīgā tiesību akta par atbalsta shēmu sākotnējās ietekmes novērtējuma ziņojumā (anotācijā) izskaidro, kā un kāpēc tiek piemērotas šā panta septītajā daļā minētās atkāpes kaskadēšanas principa piemērošanas secībai, un pēc konkrētā tiesību akta spēkā stāšanos par to informē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zāģbaļķu, finierkluču, celmu un sakņu izmantošanai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rūpniecisko apaļo kokmateriālu - zāģbaļķi, finierkluči, papīrmalka (apaļkoku vai šķeltā veidā), kā arī citi apaļkoki, izmantošanai enerģijas ražošanai, izņemot apaļkokus, kuru īpatnības, piemēram, suga, izmēri, taisnums un zarainums, tos dara nederīgus rūpnieciskai izmantošanai, tostarp, kuri neatbilst visu sugu zāģbaļķu, finierkluču, stabu, mietu, būvbaļķu un taras kluču kvalitātes kritērijiem, kas ir noteikti normatīvajos aktos par koku un apaļo kokmateriālu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atkritumu reģenerācijai, ja vien nav izpildīti normatīvajos aktos par atkritumu apsaimniekošanu noteiktie dalītās savākšanas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panta vienpadsmitā daļa netiek attiecināta uz elektroenerģijas ražošanu no meža biomasas, ja tā atbilst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 gada 24. jūlija regulas 2021/1056/ES,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 punktā minētajiem elektroenerģijai piemērojamiem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Iestādes, izstrādājot attiecīgos tiesību aktus jaunu atbalsta programmu noteikšanai, minēto atbalsta programmu nosacījumos neiekļauj finansiālo atbalstu individuālo siltumapgādes sistēmu vai apkures iekārtu, kurā tiek izmantots tikai fosilās izcelsmes kurināmais, iegādei un uzstādīšanai."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8</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Enerģijas izcelsmes apliecinājumu sistēmas ietvaros vienotais dabasgāzes pārvades un uzglabāšanas sistēmas operators aprēķina neapliecinātās enerģijas izcelsmes sastāvu, kas attiecas uz gāzes izcelsmes apliecinājumiem, atlikušās energoresursu struktūras - Latvijas kopējā gada energoresursu struktūra, izņemot daļu, kuru aptver atceltie vai dzēstie izcelsmes apliecinājumi, aprēķinos iekļaujot arī atceltos vai dzēstos izcelsmes apliecinājumus.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Vienotais dabasgāzes pārvades un uzglabāšanas sistēmas operators izstrādā neapliecinātās enerģijas izcelsmes sastāva aprēķināšanas metodiku un publicē to savā mājaslapā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Vienotais dabasgāzes pārvades un uzglabāšanas sistēmas operators katru gadu līdz 1. martam savā tīmekļvietnē publicē Latvijas atlikušo energoresursu struktūru, kas attiecas uz gāzes izcelsmes apliecinājumiem.".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likumprojektā nav konsekventi jānorāda uz informācijas publicēšanu tīmekļvietnē vai skaidrot likumprojekta anotācijā, kādēļ likumprojekta 9. pantā nepieciešams atsaukties uz publicēšanu mājaslapā internetā.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5</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arī 117.</w:t>
            </w:r>
            <w:r w:rsidR="00000000" w:rsidRPr="00000000" w:rsidDel="00000000">
              <w:rPr>
                <w:vertAlign w:val="superscript"/>
                <w:rtl w:val="0"/>
              </w:rPr>
              <w:t xml:space="preserve">5</w:t>
            </w:r>
            <w:r w:rsidR="00000000" w:rsidRPr="00000000" w:rsidDel="00000000">
              <w:rPr>
                <w:rtl w:val="0"/>
              </w:rPr>
              <w:t xml:space="preserve"> panta piektā daļa ir izteikta jaunā redakcijā. Vienlaikus vēršam uzmanību, ka ceturtajā daļā noteiktais “ar izcelsmes apliecinājuma izdošanu un citām ar izcelsmes apliecinājumu reģistra darbībām saistīto izmaksu kompensēšanai” ietver arī tās izmaksas, kas saistītas ar  gāzes izcelsmes apliecinājumu elektroniskās sistēmas ieviešanu un uzturēšanu, un attiecīgi šo izmaksu kompensēšanai  vienotais dabasgāzes pārvades un uzglabāšanas sistēmas operators var prasīt maksu. Arī gāzes izcelsmes apliecinājumu elektroniskās sistēmas ieviešana un tās uzturēšana ir daļa no kopējām izmaksām, kas tieši saistītas ar izcelsmes apliecinājuma izdošanu (izcelsmes apliecinājuma reģistrs, tā izveidošana un uzturēšana, citas darbības). Tādēļ, lai izvairītos no iespējamām pretrunām, interpretējot minētā panta ceturto un piekto daļu, Regulators rosina skaidrot anotācijā un precizēt, kas ir domāts ar formulējumu “attiecināmās izmaksas”, lai būtu viennozīmīgi skaidrs, tieši kuras no izmaksām tiek attiecinātas uz tarifiem, un kuras izmaksas segs  komersanti, kuriem izdos izcelsmes apliecinājumus, kā arī to, kā tiks kompensēta piemērotā atlaide 50 procentu apmērā iekārtām, kuru jauda ir mazāka par 50 kilovatiem (kW) un atjaunīgās enerģijas kopienām maksai par izcelsmes apliecinājuma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atbilstoši Enerģētikas likuma 1.panta pirmās daļas 5</w:t>
            </w:r>
            <w:r w:rsidR="00000000" w:rsidRPr="00000000" w:rsidDel="00000000">
              <w:rPr>
                <w:vertAlign w:val="superscript"/>
                <w:rtl w:val="0"/>
              </w:rPr>
              <w:t xml:space="preserve">1</w:t>
            </w:r>
            <w:r w:rsidR="00000000" w:rsidRPr="00000000" w:rsidDel="00000000">
              <w:rPr>
                <w:rtl w:val="0"/>
              </w:rPr>
              <w:t xml:space="preserve">) punktam dabasgāzes ražotājs — fiziskā vai juridiskā persona, kura iegūst dabasgāzi, izņemot sašķidrināto dabasgāzi, lai to ievadītu nacionālajā dabasgāzes ieejas-izejas sistēmā, izmantojot pieslēgumu sistēmai vai dabasgāzes pārvades sistēmas ieejas punktu no atjaunīgajiem energoresursiem saražotā vai iegūtā gāzveida kurināmā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Vienotais dabasgāzes pārvades un uzglabāšanas sistēmas operators ar izcelsmes apliecinājuma izdošanu un citām ar izcelsmes apliecinājumu reģistra darbībām saistīto izmaksu kompensēšanai var pieprasīt maksu. Iekārtām, kuru jauda ir mazāka par 50 kilovatiem (kW) un atjaunīgās enerģijas kopienām maksai par izcelsmes apliecinājuma izsniegšanu piemēro atlaidi 50 procentu apmērā. Vienotais dabasgāzes pārvades un uzglabāšanas sistēmas operators izstrādā un publicē savā tīmekļvietnē maksas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likumprojektā lietot vienveidīgu izteiksmi attiecībā uz to, kam tiek piemērota atlaide, proti, vai ar izcelsmes apliecinājuma izsniegšanas maksu saprotama apliecinājuma izdošanas un citas ar izcelsmes apliecinājumu reģistra darbībām saistīto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Vienotais dabasgāzes pārvades un uzglabāšanas sistēmas operators ar izcelsmes apliecinājuma izdošanu un citām ar izcelsmes apliecinājumu reģistra darbībām saistīto izmaksu kompensēšanai var pieprasīt maksu. Iekārtām, kuru jauda ir mazāka par 50 kilovatiem (kW) un atjaunīgās enerģijas kopienām minētajai maksai piemēro atlaidi 50 procentu apmērā. Vienotais dabasgāzes pārvades un uzglabāšanas sistēmas operators izstrādā un publicē savā tīmekļvietnē maksas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124. pantu ar septīto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pašvaldību lomas un atbalsta piešķiršanu inovatīvo atjaunīgās enerģijas tehnoloģiju pilotprojektu ieviešanā, papildinot Enerģētikas likuma 124. panta septīto daļu. Šobrīd konkrēta pašvaldību loma šajā redakcijā nav definēta, taču būtu nepieciešama skaidra pašvaldību atbildību enerģētikas pilotprojektu īstenošanā. Pašvaldībām jāpiešķir nozīmīga loma gan kā pilotprojektu ieviesējām, gan kā vajadzību identificētājām, kas nosaka vietējos enerģētikas un klimata izaicinājumus, kas būtu risināmi ar jaunu tehnoloģiju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nepieciešams arī paredzēt mehānismus pašvaldību atbalstam šo pilotprojektu īstenošanā, ieskaitot finansējuma un tehniskās palīdzības pieejamību. Tas veicinātu pašvaldību spēju piedalīties inovācijās un veidot efektīvākus risinājumus vietējā līmenī, kas saskan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ir pētījumu programma nevis atbalsta programma pašvaldībām pilotprojektu īstenošanai, bet tieši pētījumu veikšanai inovatīvo tehnoloģiju testēšanai. Norādām, ka 124.pantā noteiktās pētniecības mērķa grupa ir zinātniskās institūcijas un komersanti, kur pētniecības programmas ietvaros "kopā tiek savesti" komersanti ar zinātniskajām institūcijām, kur komersanti informē, kur un kādus pētījumus komersantiem vajag, kur un kādi zinātnieki šādus pētījumus var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izstrādes laikā katram pētījumam (pētījumu programmai) tiks definēta atbalsta saņēmēju grupa un mērķgrupa.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124. pantu ar septīto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"104. Šā likuma 58.</w:t>
            </w:r>
            <w:r w:rsidR="00000000" w:rsidRPr="00000000" w:rsidDel="00000000">
              <w:rPr>
                <w:vertAlign w:val="superscript"/>
                <w:rtl w:val="0"/>
              </w:rPr>
              <w:t xml:space="preserve">11</w:t>
            </w:r>
            <w:r w:rsidR="00000000" w:rsidRPr="00000000" w:rsidDel="00000000">
              <w:rPr>
                <w:rtl w:val="0"/>
              </w:rPr>
              <w:t xml:space="preserve"> panta divpadsmitā daļa ir piemērojama tām atbalsta programmām, kas ir apstiprinātas pēc 2025.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atsaucoties uz 58.</w:t>
            </w:r>
            <w:r w:rsidR="00000000" w:rsidRPr="00000000" w:rsidDel="00000000">
              <w:rPr>
                <w:vertAlign w:val="superscript"/>
                <w:rtl w:val="0"/>
              </w:rPr>
              <w:t xml:space="preserve">11</w:t>
            </w:r>
            <w:r w:rsidR="00000000" w:rsidRPr="00000000" w:rsidDel="00000000">
              <w:rPr>
                <w:rtl w:val="0"/>
              </w:rPr>
              <w:t xml:space="preserve"> panta 13., nevis 12.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"104. Šā likuma 58.</w:t>
            </w:r>
            <w:r w:rsidR="00000000" w:rsidRPr="00000000" w:rsidDel="00000000">
              <w:rPr>
                <w:vertAlign w:val="superscript"/>
                <w:rtl w:val="0"/>
              </w:rPr>
              <w:t xml:space="preserve">11</w:t>
            </w:r>
            <w:r w:rsidR="00000000" w:rsidRPr="00000000" w:rsidDel="00000000">
              <w:rPr>
                <w:rtl w:val="0"/>
              </w:rPr>
              <w:t xml:space="preserve"> panta trīspadsmitā daļa ir piemērojama tām atbalsta programmām, kas ir apstiprinātas pēc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Regulators līdz 2027. gada 31. decembrim izdod šā likuma 6. panta 3.</w:t>
            </w:r>
            <w:r w:rsidR="00000000" w:rsidRPr="00000000" w:rsidDel="00000000">
              <w:rPr>
                <w:vertAlign w:val="superscript"/>
                <w:rtl w:val="0"/>
              </w:rPr>
              <w:t xml:space="preserve">1</w:t>
            </w:r>
            <w:r w:rsidR="00000000" w:rsidRPr="00000000" w:rsidDel="00000000">
              <w:rPr>
                <w:rtl w:val="0"/>
              </w:rPr>
              <w:t xml:space="preserve"> daļā noteikto aukstumapgādes tarifu aprēķināšanas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Ministru kabinets līdz 2025. gada 31. decembrim izdod šā likuma 17.</w:t>
            </w:r>
            <w:r w:rsidR="00000000" w:rsidRPr="00000000" w:rsidDel="00000000">
              <w:rPr>
                <w:vertAlign w:val="superscript"/>
                <w:rtl w:val="0"/>
              </w:rPr>
              <w:t xml:space="preserve">1</w:t>
            </w:r>
            <w:r w:rsidR="00000000" w:rsidRPr="00000000" w:rsidDel="00000000">
              <w:rPr>
                <w:rtl w:val="0"/>
              </w:rPr>
              <w:t xml:space="preserve"> panta 8.</w:t>
            </w:r>
            <w:r w:rsidR="00000000" w:rsidRPr="00000000" w:rsidDel="00000000">
              <w:rPr>
                <w:vertAlign w:val="superscript"/>
                <w:rtl w:val="0"/>
              </w:rPr>
              <w:t xml:space="preserve">2</w:t>
            </w:r>
            <w:r w:rsidR="00000000" w:rsidRPr="00000000" w:rsidDel="00000000">
              <w:rPr>
                <w:rtl w:val="0"/>
              </w:rPr>
              <w:t xml:space="preserve">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21. pantā ietvertā Enerģētikas likuma Pārejas noteikumu 104. punktā paredzēto noteikumu vai alternatīvi lūdzam likumprojekta anotācijā skaidrot tiesiskās paļāvības principa pārkāpuma riskus (proti, attiecībā uz atbalsta saņēmējiem - privātpersonām, kas pēc 2025. gada 1. janvāra apstiprinātām atbalsta programmām saņem atbalstu pretēji 58.</w:t>
            </w:r>
            <w:r w:rsidR="00000000" w:rsidRPr="00000000" w:rsidDel="00000000">
              <w:rPr>
                <w:vertAlign w:val="superscript"/>
                <w:rtl w:val="0"/>
              </w:rPr>
              <w:t xml:space="preserve">11</w:t>
            </w:r>
            <w:r w:rsidR="00000000" w:rsidRPr="00000000" w:rsidDel="00000000">
              <w:rPr>
                <w:rtl w:val="0"/>
              </w:rPr>
              <w:t xml:space="preserve"> panta 13. daļā noteiktajam). Norādām, ka, ievērojot tiesiskās paļāvības principu, Eiropas Savienības direktīvas prasības, kuras skar privātpersonas, pamatā (t.i., ja pati direktīva nenosaka citādi) pārņemamas ar nacionālo tiesisko regulējumu, kam piemīt tūlītējs vai uz nākotni vērsts spēks laikā. Vienlaikus vēršam uzmanību, ka attiecīgo prasību (58.</w:t>
            </w:r>
            <w:r w:rsidR="00000000" w:rsidRPr="00000000" w:rsidDel="00000000">
              <w:rPr>
                <w:vertAlign w:val="superscript"/>
                <w:rtl w:val="0"/>
              </w:rPr>
              <w:t xml:space="preserve">11</w:t>
            </w:r>
            <w:r w:rsidR="00000000" w:rsidRPr="00000000" w:rsidDel="00000000">
              <w:rPr>
                <w:rtl w:val="0"/>
              </w:rPr>
              <w:t xml:space="preserve"> panta trīspadsmitajā daļā ietverto) adresāte ir valsts, tādējādi praktiski jau no 2025. gada 1. janvāra valstij (t.i., plašākā nozīmē, tostarp pašvaldībām) būtu jāievēro minētais ierobežojums, kas izriet no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paredzēt atsevišķu likumprojekta normu stāšanās spēkā vispārējā kārtībā, tostarp likumprojekta 11. pantā ietvertās 58.</w:t>
            </w:r>
            <w:r w:rsidR="00000000" w:rsidRPr="00000000" w:rsidDel="00000000">
              <w:rPr>
                <w:vertAlign w:val="superscript"/>
                <w:rtl w:val="0"/>
              </w:rPr>
              <w:t xml:space="preserve">11</w:t>
            </w:r>
            <w:r w:rsidR="00000000" w:rsidRPr="00000000" w:rsidDel="00000000">
              <w:rPr>
                <w:rtl w:val="0"/>
              </w:rPr>
              <w:t xml:space="preserve"> panta trīspadsmitās daļas, jo tās spēkā stāšanās 2025. gada 21. maijā nebūtu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pārejas noteikumu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24. punktā minēto lūdzam atkārtoti lūdzam skaidrot, kādi normatīvie tiesību akti paredz prasības attiecībā uz reģistrācijas procesu, savukārt, ja attiecīgas prasības nepastāv, lūdzam skaidrot, kā tiks ieviests vienkāršots reģistrācijas process. Norādām, ja normatīvajos tiesību aktos minētais process nav noregulēts vai nav paredzētas prasības minētajam procesam, tad nepastāv tiesiskā drošība attiecībā uz to, ka esošā situācija nekad nemainīsies. Ja reģistrācijas procesā tiek izmantoti standarti, ierosinām izvērtēt un paredzēt pienākumu ievērot standartus, atsauces uz tiem noformējot atbilstoši iepriekšējā Tieslietu ministrijas atzinumā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ir atkārtoti papildināts ar skaidrojošo informāciju, kas jau ir iekļauta izcelsmes apliecinājuma reģistra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ietvert anotācijā skaidrojumu, kad plānots izstrādāt normatīvos aktus, kuri noteiktu to, ko Regulatoram būtu jālicencē vai jāreģistrē austumapgādes nozarē, paredzot šādu izstrādi veikt līdztekus pirmās aukstumapgādes sistēmas darbības ieviešanai, vai arī normatīvo aktu izstrāde paredzēta arī tad, ja šādas aukstumsistēmas Latvijā netiek ieviestas.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visu normatīvo aktu izstrādi, kas noteiks to, ko Regulatoram būtu jālicencē vai jāreģistrē aukstumapgādes nozarē, norādām, ka normatīvie akti tiks pakāpeniski izstrādāti jau šobrīd. Proti, šobrīd Latvijā nav izveidotas centralizētas aukstumapgādes sistēmas, bet, nākotnē tādām veidojoties, būs nepieciešams regulējums. Attiecīgi regulējumu nepieciešams sagatavot, lai tad, kad šādas sistēmas tiks veidotas, jau būtu ieviesti pamata principi un nosacījumi, uz kuriem komersantam balstīties, plānojot savu attīstību. Tā pat Latvijai ir nepieciešams transponēt nacionālajos tiesību aktos normas, kuras nosaka Direktīva Nr.2023/1791 attiecībā uz līgumos iekļaujamo informāciju centralizētās aukstumapgādes pakalpojumu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šobrīd vēl nepastāv minētās sistēmas un tuvākajā laikā nav indikāciju, ka tiks izveidotas lielas sistēmas (tādas, kas pēc analoģijas ar siltumapgādes sektoru būtu regulējamas), Ministrija ir gatava izvērtēt un noteikt saprātīgu termiņu visa regulējuma izstrādei. Pēc likumprojekta apstiprināšanas tiks uzsākts darbs pie attiecīgajiem ministru kabineta noteikumiem un grozījumiem MK noteikumos Nr.1227. Savukārt attiecībā uz prasību Regulatoram izstrādāt tarifu noteikšanas metodiku aukstumapgādē (Likumprojektā ietvertie grozījumi Likuma 6. panta 3.1 daļā), ar pārejas punktu noteikts termiņš 2027. gada beigas.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labāk izprastu enerģētiskās nabadzības skarto mājsaimniecību apmēru Latvijā atbilstoši Energoapgādes izmaksu valsts atbalsta likumā noteiktajai metodoloģijai, ierosinām papildināt anotāciju ar to mājsaimniecību īpatsvaru no visām Latvijā, kas šobrīd atbilstu enerģētiskās nabadzības skarto mājsaimniecību lokam.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14.punktā sniegto Klimata un enerģētikas ministrijas skaidrojumu, ka </w:t>
            </w:r>
            <w:r w:rsidR="00000000" w:rsidRPr="00000000" w:rsidDel="00000000">
              <w:rPr>
                <w:i w:val="1"/>
                <w:rtl w:val="0"/>
              </w:rPr>
              <w:t xml:space="preserve">“likumprojekts neparedz kādas atkāpes no komercdarbības atbalsta kontroles nosacījumiem vai atbalsta shēmu saskaņošanu ar Eiropas Komisiju, bet tas definē kaskadēšanas principu, kas jāņem vērā nacionālo atbalsta shēmu nosacījumos</w:t>
            </w:r>
            <w:r w:rsidR="00000000" w:rsidRPr="00000000" w:rsidDel="00000000">
              <w:rPr>
                <w:rtl w:val="0"/>
              </w:rPr>
              <w:t xml:space="preserve">”, lai nodrošinātu viennozīmīgu izpratni par likumprojekta korelāciju ar komercdarbības atbalsta kontroles regulējuma piemērošanu, lūdzam iepriekšminēto skaidrojumu iekļaut arī likumprojekta anotācijas 1.3.sadaļas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1.3.sadaļā ietverto tekstu, ka “</w:t>
            </w:r>
            <w:r w:rsidR="00000000" w:rsidRPr="00000000" w:rsidDel="00000000">
              <w:rPr>
                <w:i w:val="1"/>
                <w:rtl w:val="0"/>
              </w:rPr>
              <w:t xml:space="preserve">Vienlaikus jānorāda, ka Latvijā šobrīd nav un netiek plānotas kādas jaunas atbalsta shēmas enerģijas ražošanai no biodegvielas, bioloģiskā šķidrā kurināmā, biomasas degvielas vai biomasas kurināmā (izņemot tās, kas ir noteiktas vai pieļautas ES tiesību aktos). Atbalsts atjaunīgai enerģijai tiek īstenots ar atbalsta programmām atjaunīgās enerģijas tehnoloģijām.</w:t>
            </w:r>
            <w:r w:rsidR="00000000" w:rsidRPr="00000000" w:rsidDel="00000000">
              <w:rPr>
                <w:rtl w:val="0"/>
              </w:rPr>
              <w:t xml:space="preserve">”, lūdzam skaidrot iekavās ietvertā teksta būtību un korelāciju ar komercdarbības atbalsta kontroles regulējuma ievērošanu, proti, vai ar atsauci uz Eiropas Savienības tiesību aktiem tiek aptverts, tai skaitā pienākums ievērot atbilstīgos Eiropas Savienības tiesību aktus komercdarbības atbalsta jomā, saskaņā ar kuriem tiek veikts plānoto atbalsta pasākumu saderības novērtējums. Vēršam uzmanību, ka, ieviešot atbalsta pasākumus, dalībvalstu pienākums ir ievērot Līguma par Eiropas Savienības darbību 107. un 108.pantu un plānotos atbalsta pasākumus ieviest atbilstoši piemērojamajam komercdarbības atbalsta regulējumam, nepieciešamības gadījumā tos paziņojot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iekavās iekļautais teksts skaidroja, ka Eiropas Savienības tiesību aktos noteiktās vai pieļautās atbalsta shēmas nav uzskatāmas par nacionālajām atbalsta shēmām.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 anotācijas 1.3.sadaļā minētā: “</w:t>
            </w:r>
            <w:r w:rsidR="00000000" w:rsidRPr="00000000" w:rsidDel="00000000">
              <w:rPr>
                <w:i w:val="1"/>
                <w:rtl w:val="0"/>
              </w:rPr>
              <w:t xml:space="preserve">Likumprojekts precizē Enerģētikas likuma pantu un papildina to ar jaunu pantu, kas dod tiesības Klimata un enerģētikas ministrijai saskaņot Latvijas atbalsta shēmas nosacījumus ar citas Eiropas Savienības dalībvalsts kompetento iestādi, saskaņojot arī atjaunīgās enerģijas apjoma pārdali iesaistīto dalībvalstu atjaunīgās enerģijas datos, un noteic pienākumu Klimata un enerģētikas ministrijai šajā gadījumā par minētās atbalsta shēmas nosacījumiem trīs mēnešu laikā pēc pirmā gada, kad atbalsta shēmas nosacījumi ir stājušies spēkā, paziņot Eiropas Komisijai.</w:t>
            </w:r>
            <w:r w:rsidR="00000000" w:rsidRPr="00000000" w:rsidDel="00000000">
              <w:rPr>
                <w:rtl w:val="0"/>
              </w:rPr>
              <w:t xml:space="preserve">”, nav saprotams, kādu paziņojumu un kuram Eiropas Komisijas direktorātam ir plānots iesniegt. Skaidrojam, gadījumā, ja šis teksts ir attiecināms uz paziņojuma par plānoto atbalsta pasākumu iesniegšanu Eiropas Komisijas Konkurences ģenerāldirektorātam, tad saskaņā ar Līguma par Eiropas Savienības darbību 108.panta 3.punktu paziņojumu par plānoto atbalsta pasākumu vai grozījumiem tajā ir jāiesniedz Eiropas Komisijai (t.i., Konkurences ģenerāldirektorātam) pirms tā spēkā stāšanās. Gadījumā, ja atbilstoši anotācijā minētajam paziņojuma iesniegšana ir paredzēta Eiropas Komisijas Nodokļu politikas un muitas savienības ģenerāldirektorātam (DG TAXUD), skaidrojam, ka tas neatceļ komercdarbības atbalsta kontroles nosacījumu piemērošanu, tostarp paziņošanu Eiropas Komisijas Konkurences ģenerāldirektorātam pirms tā spēkā stāšanās.  Attiecīgi lūdzam precizēt minēto anotācijās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būtiski papildināta par atbalsta shēmu apvienošanas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(5.lpp.) tiek minēts, ka “</w:t>
            </w:r>
            <w:r w:rsidR="00000000" w:rsidRPr="00000000" w:rsidDel="00000000">
              <w:rPr>
                <w:i w:val="1"/>
                <w:rtl w:val="0"/>
              </w:rPr>
              <w:t xml:space="preserve">Ar kopējiem izdevumiem par mājokli saprotot izdevumus par īri (t.sk., zemes noma vai nodokļi par mājai piegulošo zemi), par komunālajiem pakalpojumiem (ūdens, kanalizācija, siltumenerģija, elektroenerģija, dabasgāze), par citiem ar mājokļa ikmēneša uzturēšanu saistītiem pakalpojumiem (piemēram, mājokļa apdrošināšana). Precīza mājsaimniecības izdevumu aprēķināšanas kārtība ir ietverta noteikumos par energoapgādes izmaksu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3.septembra noteikumos Nr.592 “Energoapgādes izmaksu valsts atbalsta noteikumi” noteiktajam, izdevumi par mājokli gadā uz vienu mājsaimniecības locekli ietver īri, t. sk. zemes īri, uz kuras atrodas māja, autostāvvietas, mājokļa aprīkojuma īri utt. (Centrālās statistikas pārvaldes neregulārā apsekojuma par 2019. gadu datu kods "04.1 Mājokļa īres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skaidrs, kas tieši ietilpst zem Centrālās statistikas pārvaldes neregulārā apsekojuma par 2019. gadu datu koda "04.1 Mājokļa īres maksa". Lūgums skaidrot, kas ir domāts ar “nodokļi par mājai piegulošo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ar CSP datu kodu "04.1 Mājokļa īres maksa" tiek saprasti obligātie īres maksājumi, kas mājsaimniecībai var rasties, ja tā īrē mājokli, vai, ja zeme, uz kuras atrodas ēka, pieder citam īpašnieka, un par tā tiek izīrēta.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1.5.sadaļā norādīts ietekmes pēcpārbaudes veikšanas termiņš "36", bet nav precizēts, kāds laika intervāls tieši šeit ir paredzēts mēneši vai gadi. Lūdzam papildināt.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attiecīgajā logā pie "36" nav iespējams norādīt vārdos, ka tie ir mēneši. Norādām, ka ievades logā, pirms vērtības ievades, ir norādīts paskaidrojošais teksts "</w:t>
            </w:r>
            <w:r w:rsidR="00000000" w:rsidRPr="00000000" w:rsidDel="00000000">
              <w:rPr>
                <w:i w:val="1"/>
                <w:rtl w:val="0"/>
              </w:rPr>
              <w:t xml:space="preserve">mēnešu skaits no TA pieņemšanas datuma</w:t>
            </w:r>
            <w:r w:rsidR="00000000" w:rsidRPr="00000000" w:rsidDel="00000000">
              <w:rPr>
                <w:rtl w:val="0"/>
              </w:rPr>
              <w:t xml:space="preserve">". Attiecīgi ir plānoti 36 mēneši, bet vārdu "mēneši" TAP funkcionalitātes dēļ nav iespējams norādīt blakus.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3.sadals punktā “Cita informācija” norādīt, ka likumprojektā paredzēto normu ieviešana tiks nodrošināta to izpildē iesaistīto ministriju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mērķis ir pārņemt arī Eiropas Parlamenta un Padomes  2024. gada 13. jūnija direktīvas 2024/1711/ES ar ko groza Direktīvas 2018/2001/ES un 2019/944/ES attiecībā uz Savienības elektroenerģijas tirgus modeļa uzlabošanu, Eiropas Parlamenta un Padomes 2023. gada 13. septembra direktīvas 2023/1791/ES par energoefektivitāti un ar ko groza Regulu 2023/955/ES un Eiropas Parlamenta un Padomes 2024. gada 24. aprīļa direktīvas 2024/1275/ES par ēku energosniegumu prasības, lūdzam papildināt likumprojekta anotāciju ar informāciju, kā paredzēts pārņemt pārējās minēto direktīvu normas, norādot arī termiņu, kādā paredzēts sagatavot un iesniegt Ministru kabinetā nacionālo tiesību aktu, ar kuru šīs normas paredzēts pārņemt, un atbildīgo iestādi par šī tiesību akta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5.4.punkts ir papildināts attiecībā uz direktīvu transponēšanas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Direktīvas 2024/1275/ES transponēšanu - transponēšanas termiņš ir 2026.gada 29.maijs, un par transponēšanu atbildīgā ministrija ir Ekonomikas ministrija. Ņemot vērā transponēšanas termiņu un to, ka par transponēšanu nav atbildīga tā ministrija, kas virza šo likumprojektu, tad anotācijā ir iekļauta tikai vispārīgā informācija par minēto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Nr.2024/1711 transponēšana tiks nodrošināta, veicot grozījumus Elektroenerģijas tirgus likumā. Ministrija ir izstrādājusi transponēšanai nepieciešamo likumprojektu, kas 2025.gada pirmajā ceturksnī tiks nodots publiskajai apspriešanai. Plānotais minētā likumprojekta pieņemšanas termiņš ir 2025.gada beigas.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direktīvas Nr. 2018/2001 (konsolidētās redakcijas) 19. panta 7. punkta "a" apakšpunkta "ii"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pārņemts jaunā likumprojektā "Grozījumi Elektroenerģijas tirgus likumā" (apstiprināts 2025. gada 4. ceturksnī). Saistībā ar minēto lūdzam precizēt minēto informāciju, nodrošinot attiecīgās direktīvas prasību pārņemšanu laikā, proti, 2025. gada 21. maijā, vai skaidrot pamatojumu minētajam termiņam. Kā arī šajā un citos līdzīgos gadījumos lūdzam norādīt atbildīgo ministriju par nacionālā tiesību akta izstrādi, kas paredz konkrētās prasības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norma ir ietverta Latvijas Republikas Saeimā iesniegtajā likumprojektā "Grozījumi Elektroenerģijas tirgus likumā" (730/Lp14), ko plānots pieņemt 2025.gada pirmajā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23. punktā minēto lūdzam likumprojekta anotācijas 5.4. apakšsadaļas 1. tabulā norādīt konkrētu datumu attiecīgā tiesību akta (grozījumu Elektroenerģijas tirgus likumā) iesniegšanai Ministru kabinetā, kā arī lūdzam precizēt informāciju par Eiropas Parlamenta un Padomes 2023. gada 18. oktobra direktīvas (ES) 2023/2413, ar ko attiecībā uz atjaunīgo energoresursu enerģijas izmantošanas veicināšanu groza direktīvu (ES) 2018/2001, regulu (ES) 2018/1999 un direktīvu 98/70/EK un atceļ Padomes direktīvu (ES) 2015/652,1.panta "9" punkta "b" apakšpunktā izteiktā direktīvas Nr. 2018/2001, 19. panta 4. punkta pārņemšanu, jo izziņā norādīts, ka minētā norma tiks pārņemta, izstrādājot grozījumus Elektroenerģijas tirgus likumā, savukārt no 5.4. apakšsadaļas 1. tabulas izriet, ka minētā norma jau ir pilnībā pārņemta.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ka Direktīvas 19. panta 4. punktā noteiktā prasība  </w:t>
            </w:r>
            <w:r w:rsidR="00000000" w:rsidRPr="00000000" w:rsidDel="00000000">
              <w:rPr>
                <w:i w:val="1"/>
                <w:rtl w:val="0"/>
              </w:rPr>
              <w:t xml:space="preserve">"[..] energouzņēmumi atceļ izcelsmes apliecinājumus ne vēlāk kā sešus mēnešus pēc izcelsmes apliecinājuma derīguma termiņa beigām.</w:t>
            </w:r>
            <w:r w:rsidR="00000000" w:rsidRPr="00000000" w:rsidDel="00000000">
              <w:rPr>
                <w:rtl w:val="0"/>
              </w:rPr>
              <w:t xml:space="preserve">" faktiski tiek izpildīta. Elektroenerģijas tirgus likumā (29.</w:t>
            </w:r>
            <w:r w:rsidR="00000000" w:rsidRPr="00000000" w:rsidDel="00000000">
              <w:rPr>
                <w:vertAlign w:val="superscript"/>
                <w:rtl w:val="0"/>
              </w:rPr>
              <w:t xml:space="preserve">2</w:t>
            </w:r>
            <w:r w:rsidR="00000000" w:rsidRPr="00000000" w:rsidDel="00000000">
              <w:rPr>
                <w:rtl w:val="0"/>
              </w:rPr>
              <w:t xml:space="preserve"> panta 5.daļa) jau šobrīd nosaka, ka izcelsmes apliecinājumi ir derīgi 12 mēnešus. Pēc AS "Augstsprieguma tīkls", kas Latvijā pārvalda izcelsmes apliecinājumu izsniegšanu elektroenerģijas jomā, sniegtā skaidrojuma - sistēma automātiski atceļ izcelsmes apliecinājumus, kuriem ir beidzies derīguma termiņš. Attiecīgi energoapgādes komersantiem papildu darbības nav jāveic, lai tos atceltu. Informējam, ka šobrīd izcelsmes apliecinājumu regulējums tiek precizēts likumprojekta "Grozījumi Elektroenerģijas tirgus likumā" (730/Lp14)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6.3. sadaļā norādīto informāciju atbilstoši reālajai situācijai (kā notikušus notikumus) - Valsts kanceleja Tiesību aktu projektu publiskajā portālā pārliecinājās, ka publiskās apspriešanās laikā nav saņemti viedokļi par likumprojektu TAP portāla ietvaros. Tomēr likumprojektam pievienots kopsavilkums par saņemtajiem viedokļiem, kas visdrīzāk sniegti ārpus TAP portālā. Attiecīgi skaidri norādāms, ka tika rīkota publiskā apspriešana, tika saņemti viedokļi no biedrības un valsts akciju sabiedrības, kā arī atbilstoši vadlīnijās tiesību akta projekta sākotnējās ietekmes novērtēšanai un novērtējuma ziņojuma sagatavošanai TAP portālā noteiktajam īsi raksturojami aspekti, par ko sniegts viedoklis.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likumprojekta virzības gaitā ir mainījies regulējums sabiedrības līdzdalības nodrošināšanai, attiecīgi lūdzam precizēt likumprojekta anotācijā norādīto atsauci uz Ministru kabineta 2024.gada 15.oktobra noteikumiem Nr. 639 "Sabiedrības līdzdalības kārtība attīstības plānošanas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uz to, ka anotācijas 7.2 apakšpunktā pie aprēķinu skaidrojuma trūkst informācijas par pamatojumu, kāpēc nav iespējams aprēķināt Klimata un enerģētikas ministrijas pienākumu apkopot informāciju un informēt Eiropas Komisiju par apkopojumu. Kā arī iztrūkst informācija par likumprojekta 11. un 12. pantā iekļautiem informācijas sniegšanas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norādu, ka Enerģētikas un vides aģentūrai paredzētā funkcija neattiecas uz informācijas sniegšanas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7.punktā iekļautā informācija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24-TA-1475</w:t>
    </w:r>
    <w:r>
      <w:br/>
    </w:r>
    <w:r w:rsidR="00000000" w:rsidRPr="00000000" w:rsidDel="00000000">
      <w:rPr>
        <w:rtl w:val="0"/>
      </w:rPr>
      <w:t xml:space="preserve">31.03.2025. 10.02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24-TA-1475</w:t>
    </w:r>
    <w:r>
      <w:br/>
    </w:r>
    <w:r w:rsidR="00000000" w:rsidRPr="00000000" w:rsidDel="00000000">
      <w:rPr>
        <w:rtl w:val="0"/>
      </w:rPr>
      <w:t xml:space="preserve">31.03.2025. 10.02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Izziņa_24-TA-1475.docx</dc:title>
</cp:coreProperties>
</file>

<file path=docProps/custom.xml><?xml version="1.0" encoding="utf-8"?>
<Properties xmlns="http://schemas.openxmlformats.org/officeDocument/2006/custom-properties" xmlns:vt="http://schemas.openxmlformats.org/officeDocument/2006/docPropsVTypes"/>
</file>