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74C828" w14:textId="77777777" w:rsidR="00207C09" w:rsidRDefault="009E0459">
      <w:pPr>
        <w:spacing w:after="240"/>
        <w:jc w:val="center"/>
        <w:rPr>
          <w:b/>
        </w:rPr>
      </w:pPr>
      <w:r>
        <w:rPr>
          <w:b/>
        </w:rPr>
        <w:t>“Publiskās apspriešanas laikā 12.07.2026. - 26.07.2026. saņemto viedokļu, priekšlikumu un iebildumu apkopojums par Grozījumi Ministru kabineta 2023. gada 21. novembra noteikumos Nr.&amp;nbsp;673 "Valsts un Eiropas Savienības atbalsta piešķiršanas kārtība pasākumā "Galīga zvejas darbību pārtraukšana" 2021.–2027. gada plānošanas periodā"”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207C09" w14:paraId="5E89029F" w14:textId="77777777">
        <w:tc>
          <w:tcPr>
            <w:tcW w:w="750" w:type="dxa"/>
            <w:shd w:val="clear" w:color="auto" w:fill="FFFFFF"/>
            <w:noWrap/>
            <w:tcMar>
              <w:top w:w="75" w:type="dxa"/>
              <w:left w:w="75" w:type="dxa"/>
              <w:bottom w:w="75" w:type="dxa"/>
              <w:right w:w="75" w:type="dxa"/>
            </w:tcMar>
            <w:vAlign w:val="center"/>
          </w:tcPr>
          <w:p w14:paraId="702F85C3" w14:textId="77777777" w:rsidR="00207C09" w:rsidRDefault="009E0459">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6A2B84DF" w14:textId="77777777" w:rsidR="00207C09" w:rsidRDefault="009E0459">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229542BE" w14:textId="77777777" w:rsidR="00207C09" w:rsidRDefault="009E0459">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32E43CC" w14:textId="77777777" w:rsidR="00207C09" w:rsidRDefault="009E0459">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0EBBB9B" w14:textId="77777777" w:rsidR="00207C09" w:rsidRDefault="009E0459">
            <w:pPr>
              <w:jc w:val="center"/>
            </w:pPr>
            <w:r>
              <w:rPr>
                <w:b/>
              </w:rPr>
              <w:t>Skaidrojums, kādā veidā viedoklis / priekšlikums / iebildums ir ņemts vērā vai ņemts vērā daļēji, vai pamatojums, ja viedoklis / priekšlikums / iebildums nav ņemts vērā</w:t>
            </w:r>
          </w:p>
        </w:tc>
      </w:tr>
      <w:tr w:rsidR="00207C09" w14:paraId="46F00CE1" w14:textId="77777777">
        <w:tc>
          <w:tcPr>
            <w:tcW w:w="750" w:type="dxa"/>
            <w:shd w:val="clear" w:color="auto" w:fill="FFFFFF"/>
            <w:noWrap/>
            <w:tcMar>
              <w:top w:w="75" w:type="dxa"/>
              <w:left w:w="75" w:type="dxa"/>
              <w:bottom w:w="75" w:type="dxa"/>
              <w:right w:w="75" w:type="dxa"/>
            </w:tcMar>
            <w:vAlign w:val="center"/>
          </w:tcPr>
          <w:p w14:paraId="49367B62" w14:textId="77777777" w:rsidR="00207C09" w:rsidRDefault="009E0459">
            <w:pPr>
              <w:jc w:val="center"/>
            </w:pPr>
            <w:r>
              <w:t>1.</w:t>
            </w:r>
          </w:p>
        </w:tc>
        <w:tc>
          <w:tcPr>
            <w:tcW w:w="4055" w:type="dxa"/>
            <w:shd w:val="clear" w:color="auto" w:fill="FFFFFF"/>
            <w:noWrap/>
            <w:tcMar>
              <w:top w:w="75" w:type="dxa"/>
              <w:left w:w="75" w:type="dxa"/>
              <w:bottom w:w="75" w:type="dxa"/>
              <w:right w:w="75" w:type="dxa"/>
            </w:tcMar>
            <w:vAlign w:val="center"/>
          </w:tcPr>
          <w:p w14:paraId="4A282E7A" w14:textId="77777777" w:rsidR="00207C09" w:rsidRDefault="009E0459">
            <w:pPr>
              <w:jc w:val="left"/>
            </w:pPr>
            <w:r>
              <w:t>"KUIVIŽU ZVEJNIEKU APVIENĪBA"</w:t>
            </w:r>
          </w:p>
        </w:tc>
        <w:tc>
          <w:tcPr>
            <w:tcW w:w="4056" w:type="dxa"/>
            <w:shd w:val="clear" w:color="auto" w:fill="FFFFFF"/>
            <w:noWrap/>
            <w:tcMar>
              <w:top w:w="75" w:type="dxa"/>
              <w:left w:w="75" w:type="dxa"/>
              <w:bottom w:w="75" w:type="dxa"/>
              <w:right w:w="75" w:type="dxa"/>
            </w:tcMar>
            <w:vAlign w:val="center"/>
          </w:tcPr>
          <w:p w14:paraId="028BC9ED" w14:textId="43B82111" w:rsidR="00207C09" w:rsidRDefault="009E0459" w:rsidP="009E0459">
            <w:r>
              <w:t>Saistībā ar ZKP atbalsta finansējum pārdali starp 2021.-2027.g. perioda pasākumiem un MK grozījumiem noteikumos par atbalstu pasākumā “Galīgā zvejas darbību pārtraukšana” – “Grozījumi Ministru kabineta 2023.gada 21.novembra noteikumos Nr.673 “Valsts un Eiropas Savienības atbalsta piešķiršanas kārtība pasākumā “Galīgā zvejas darbību pārtraukšana” 2021.-2027. gada plānošanas periodā””,</w:t>
            </w:r>
            <w:r>
              <w:br/>
            </w:r>
            <w:r>
              <w:t xml:space="preserve">Lūdzam Latvijas Republikas Zemkopības ministriju pievērst </w:t>
            </w:r>
            <w:r>
              <w:lastRenderedPageBreak/>
              <w:t>uzmanību disproporcijai, kas izveidojusies pašreizējo projektu atlases kritēriju piemērošanas rezultātā. Esošā punktu piešķiršanas kārtība rada situāciju, kurā priekšroka tiek dota kuģiem ar lielākā vēsturiskām nozvejām, savukārt uzņēmumā atlikušo kuģu rīcībā nonāk vēl lielāki nozvejas limiti.</w:t>
            </w:r>
            <w:r>
              <w:br/>
            </w:r>
            <w:r>
              <w:t>    Mūsu ieskatā pašreizējā pieeja neatbilst samērīguma un taisnīguma principiem, kā arī neveicina ilgtspējīgu Latvijas zvejniecības nozares attīstību. Loģiski būtu no zvejas flotes izņemt tos zvejas kuģus, kuri ir vecāki, kuriem ir mazāki nozvejas limiti un kuri objektīvu apstākļu dēļ nespēj zvejot pilnu kalendāro gadu bez papildu limita. Vienlaikus, saglabājot pašreizējo kārtību, pastāv risks, ka tirgū turpinās darboties mazāk konkurētspējīgi uzņēmumi un kuģi, kas ilgtermiņā mazinās visas Latvijas zvejnie</w:t>
            </w:r>
            <w:r>
              <w:t xml:space="preserve">cības nozares konkurētspēju. Turklāt šādi </w:t>
            </w:r>
            <w:r>
              <w:lastRenderedPageBreak/>
              <w:t>uzņēmumi var kļūt par vieglu iegādes mērķi lieliem starptautisk</w:t>
            </w:r>
            <w:r w:rsidR="00CB3F1F">
              <w:t>i</w:t>
            </w:r>
            <w:r>
              <w:t>em uzņēmumiem, veicinot  zvejas tiesību un flotes koncentrēšanos ārvalstu kapitāla rokās. Tas savukārt apdraudētu Latvijas zvejniecību kā kultūrvēsturiskā mantojuma daļu un mazinātu iespējas saglabāt latviešu zvejnieku tradīcijas un vietējo piekrastes kopienu ilgtspējīgu attīstību.</w:t>
            </w:r>
            <w:r>
              <w:br/>
            </w:r>
            <w:r>
              <w:t xml:space="preserve">    Sakarā ar iepriekš minēto, Lūdzam Zemkopības ministriju rast iespēju ierosināt un veikt izmaiņas atbalsta pasākumā “Galīgā zvejas darbību pārtraukšana” un lielākus kritēriju punktus piešķirt tiem zvejas </w:t>
            </w:r>
            <w:proofErr w:type="spellStart"/>
            <w:r>
              <w:t>kuģīem</w:t>
            </w:r>
            <w:proofErr w:type="spellEnd"/>
            <w:r>
              <w:t>, kuriem ir mazākās nozvejas.     </w:t>
            </w:r>
            <w:r>
              <w:br/>
            </w:r>
          </w:p>
        </w:tc>
        <w:tc>
          <w:tcPr>
            <w:tcW w:w="1650" w:type="dxa"/>
            <w:shd w:val="clear" w:color="auto" w:fill="FFFFFF"/>
            <w:noWrap/>
            <w:tcMar>
              <w:top w:w="75" w:type="dxa"/>
              <w:left w:w="75" w:type="dxa"/>
              <w:bottom w:w="75" w:type="dxa"/>
              <w:right w:w="75" w:type="dxa"/>
            </w:tcMar>
            <w:vAlign w:val="center"/>
          </w:tcPr>
          <w:p w14:paraId="47CE4723" w14:textId="37133C7E" w:rsidR="00207C09" w:rsidRDefault="009D45C7">
            <w:pPr>
              <w:jc w:val="left"/>
            </w:pPr>
            <w:r w:rsidRPr="009E0459">
              <w:lastRenderedPageBreak/>
              <w:t>Nav ņemts vērā</w:t>
            </w:r>
          </w:p>
        </w:tc>
        <w:tc>
          <w:tcPr>
            <w:tcW w:w="4056" w:type="dxa"/>
            <w:shd w:val="clear" w:color="auto" w:fill="FFFFFF"/>
            <w:noWrap/>
            <w:tcMar>
              <w:top w:w="75" w:type="dxa"/>
              <w:left w:w="75" w:type="dxa"/>
              <w:bottom w:w="75" w:type="dxa"/>
              <w:right w:w="75" w:type="dxa"/>
            </w:tcMar>
            <w:vAlign w:val="center"/>
          </w:tcPr>
          <w:p w14:paraId="7D015004" w14:textId="52F95A40" w:rsidR="00CB3F1F" w:rsidRDefault="00CB3F1F" w:rsidP="009E0459">
            <w:r>
              <w:t xml:space="preserve">Izvērtējot biedrības </w:t>
            </w:r>
            <w:r w:rsidR="009E0459" w:rsidRPr="009E0459">
              <w:t>„Kuivižu zvejnieku apvienība”</w:t>
            </w:r>
            <w:r w:rsidR="009E0459" w:rsidRPr="009E0459">
              <w:t xml:space="preserve"> </w:t>
            </w:r>
            <w:r w:rsidRPr="009E0459">
              <w:t>sniegto priekšlikumu, informē</w:t>
            </w:r>
            <w:r w:rsidRPr="009E0459">
              <w:t>j</w:t>
            </w:r>
            <w:r>
              <w:t>am</w:t>
            </w:r>
            <w:r>
              <w:t xml:space="preserve">, ka Eiropas Savienības fondu projektu atlasē ir piemērojami projektu atlases kritēriji, kuri tiek izvērtēti un apstiprināti attiecīgā fonda Uzraudzības komitejā, kurā ir </w:t>
            </w:r>
            <w:r w:rsidRPr="00314194">
              <w:t xml:space="preserve">dalībvalsts iestāžu un partneru pārstāvju </w:t>
            </w:r>
            <w:r>
              <w:t xml:space="preserve">plaša un </w:t>
            </w:r>
            <w:r w:rsidRPr="00314194">
              <w:t>līdzsvarot</w:t>
            </w:r>
            <w:r>
              <w:t>a</w:t>
            </w:r>
            <w:r w:rsidRPr="00314194">
              <w:t xml:space="preserve"> pārstāvīb</w:t>
            </w:r>
            <w:r>
              <w:t>a. Saskaņā ar Regulas Nr.</w:t>
            </w:r>
            <w:r w:rsidR="009E0459">
              <w:t> </w:t>
            </w:r>
            <w:r>
              <w:t>2021/1060</w:t>
            </w:r>
            <w:r w:rsidRPr="00E22A19">
              <w:rPr>
                <w:vertAlign w:val="superscript"/>
              </w:rPr>
              <w:footnoteReference w:id="1"/>
            </w:r>
            <w:r>
              <w:t xml:space="preserve"> 40.panta 2.punktā noteikto pienākumu, Programmas zivsaimniecības attīstībai 2021.-2027.gadam Uzraudzības komiteja 2023.gada 18.oktobrī ir apstiprinājusi (</w:t>
            </w:r>
            <w:r w:rsidRPr="00314194">
              <w:t xml:space="preserve">lēmums Nr. </w:t>
            </w:r>
            <w:hyperlink r:id="rId6" w:history="1">
              <w:r w:rsidRPr="006562DB">
                <w:t>9.3-26e/1/L/UK/2023</w:t>
              </w:r>
            </w:hyperlink>
            <w:r>
              <w:rPr>
                <w:rStyle w:val="FootnoteReference"/>
              </w:rPr>
              <w:footnoteReference w:id="2"/>
            </w:r>
            <w:r>
              <w:t xml:space="preserve">) spēkā esošos pasākumā piemērojamos projektu atlases kritērijus. </w:t>
            </w:r>
          </w:p>
          <w:p w14:paraId="36679A72" w14:textId="46BF5298" w:rsidR="00CB3F1F" w:rsidRDefault="00CB3F1F" w:rsidP="009E0459">
            <w:r>
              <w:t xml:space="preserve">Pasākumā spēkā esošie projektu atlases kritēriji paredz piešķirt papildus kritēriju punktus un nodrošināt prioritāti gan par 30 gadiem vecākiem zvejas kuģiem, gan tiem kuģiem, kuriem ar lielākām nozvejām ir lielāka ietekme uz zvejas resursiem. Līdz ar to vēstulē minētais par to, ka no flotes būtu jāizņem vecākos zvejas kuģus jau ir iestrādāts spēkā esošajos kritērijos. </w:t>
            </w:r>
          </w:p>
          <w:p w14:paraId="3F9CDDF5" w14:textId="34D064D7" w:rsidR="00CB3F1F" w:rsidRDefault="00CB3F1F" w:rsidP="009E0459">
            <w:bookmarkStart w:id="0" w:name="OLE_LINK15"/>
            <w:r>
              <w:t>R</w:t>
            </w:r>
            <w:r w:rsidRPr="001374C8">
              <w:t>osinātais priekšlikums paredz nodrošināt priekšroku zvejas kuģiem, kuriem ir mazāka ietekme uz zvejas resursiem.</w:t>
            </w:r>
            <w:r>
              <w:t xml:space="preserve"> </w:t>
            </w:r>
            <w:r w:rsidRPr="001374C8">
              <w:t xml:space="preserve">Tomēr vērtējam, ka šāds risinājums neatbilstu </w:t>
            </w:r>
            <w:r>
              <w:t>Kopējās zivsaimniecības politikas</w:t>
            </w:r>
            <w:r>
              <w:rPr>
                <w:rStyle w:val="FootnoteReference"/>
              </w:rPr>
              <w:footnoteReference w:id="3"/>
            </w:r>
            <w:r>
              <w:t xml:space="preserve"> un pasākuma mērķim – panākt stabilu un ilgstošu līdzsvaru starp zvejas kapacitāti un attiecīgajam zvejas flotes segmentam pieejamajiem resursiem, </w:t>
            </w:r>
            <w:r w:rsidRPr="001374C8">
              <w:t>izņemot no flotes kuģus ar lielāku ietekmi uz resursiem, nevis mazaktīvos kuģus, kuru ietekme uz resursiem ir salīdzinoši neliela.</w:t>
            </w:r>
            <w:r>
              <w:t xml:space="preserve"> </w:t>
            </w:r>
            <w:bookmarkEnd w:id="0"/>
            <w:r>
              <w:t xml:space="preserve">Tādējādi tiek nodrošināta arī publiskā atbalsta </w:t>
            </w:r>
            <w:r w:rsidRPr="00161213">
              <w:t>pareiza</w:t>
            </w:r>
            <w:r>
              <w:t>s</w:t>
            </w:r>
            <w:r w:rsidRPr="00161213">
              <w:t xml:space="preserve"> finanšu pārvaldība</w:t>
            </w:r>
            <w:r>
              <w:t xml:space="preserve">s </w:t>
            </w:r>
            <w:r w:rsidRPr="00161213">
              <w:t>saimnieciskuma, lietderības un efektivitātes princip</w:t>
            </w:r>
            <w:r>
              <w:t>u ievērošana, kas šajā gadījumā nozīmē, ka izmaksātais publiskais finansējums dotu lielāku ilgtermiņa efektu attiecīgā zvejas flotes segmenta kapacitātes līdzsvara ar tam pieejamiem resursiem nodrošināšanā.</w:t>
            </w:r>
          </w:p>
          <w:p w14:paraId="7FFBD1F9" w14:textId="11820A11" w:rsidR="00CB3F1F" w:rsidRDefault="00CB3F1F" w:rsidP="009E0459">
            <w:r>
              <w:t>Papildus uzsver</w:t>
            </w:r>
            <w:r w:rsidR="009E0459">
              <w:t>am</w:t>
            </w:r>
            <w:r>
              <w:t>, ka statistikas dati liecina, ka, neskatoties uz iepriekš veiktajiem zvejas flotes sabalansēšanas pasākumiem, Latvijai pieejamās zvejas iespējas tiek apgūtas pilnībā, vienlaikus tiek kāpināti nozvejas apjomi uz flotē atlikušajiem zvejas kuģiem, kas ceļ darba ražīgumu gan konkrētajos uzņēmumos, gan nozarē kopumā.</w:t>
            </w:r>
          </w:p>
          <w:p w14:paraId="4F8BF2D7" w14:textId="1DD713A5" w:rsidR="00207C09" w:rsidRDefault="00CB3F1F" w:rsidP="009E0459">
            <w:r w:rsidRPr="00272E32">
              <w:t>Ņemot vērā iepriekš minēto, secinām, ka priekšlikuma iekļaušana regulējuma projektā nebūtu atbilstoša publiskā finansējuma pareizas finanšu pārvaldības principiem un Kopējās zivsaimniecības politikas mērķiem.</w:t>
            </w:r>
          </w:p>
        </w:tc>
      </w:tr>
    </w:tbl>
    <w:p w14:paraId="022AE75D" w14:textId="77777777" w:rsidR="00207C09" w:rsidRDefault="00207C09"/>
    <w:tbl>
      <w:tblPr>
        <w:tblStyle w:val="a"/>
        <w:tblW w:w="14567" w:type="dxa"/>
        <w:tblLayout w:type="fixed"/>
        <w:tblLook w:val="0600" w:firstRow="0" w:lastRow="0" w:firstColumn="0" w:lastColumn="0" w:noHBand="1" w:noVBand="1"/>
      </w:tblPr>
      <w:tblGrid>
        <w:gridCol w:w="4855"/>
        <w:gridCol w:w="4856"/>
        <w:gridCol w:w="4856"/>
      </w:tblGrid>
      <w:tr w:rsidR="00207C09" w14:paraId="64C37532" w14:textId="77777777">
        <w:tc>
          <w:tcPr>
            <w:tcW w:w="4855" w:type="dxa"/>
            <w:shd w:val="clear" w:color="auto" w:fill="FFFFFF"/>
            <w:noWrap/>
            <w:tcMar>
              <w:top w:w="75" w:type="dxa"/>
              <w:left w:w="75" w:type="dxa"/>
              <w:bottom w:w="75" w:type="dxa"/>
              <w:right w:w="75" w:type="dxa"/>
            </w:tcMar>
            <w:vAlign w:val="center"/>
          </w:tcPr>
          <w:p w14:paraId="42FA832C" w14:textId="77777777" w:rsidR="00207C09" w:rsidRDefault="009E0459">
            <w:pPr>
              <w:jc w:val="left"/>
            </w:pPr>
            <w:r>
              <w:t>Datums**</w:t>
            </w:r>
          </w:p>
        </w:tc>
        <w:tc>
          <w:tcPr>
            <w:tcW w:w="4856" w:type="dxa"/>
            <w:shd w:val="clear" w:color="auto" w:fill="FFFFFF"/>
            <w:noWrap/>
            <w:tcMar>
              <w:top w:w="75" w:type="dxa"/>
              <w:left w:w="75" w:type="dxa"/>
              <w:bottom w:w="75" w:type="dxa"/>
              <w:right w:w="75" w:type="dxa"/>
            </w:tcMar>
            <w:vAlign w:val="center"/>
          </w:tcPr>
          <w:p w14:paraId="1F870528" w14:textId="77777777" w:rsidR="00207C09" w:rsidRDefault="00207C09">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9DD95AB" w14:textId="77777777" w:rsidR="00207C09" w:rsidRDefault="00207C09"/>
        </w:tc>
      </w:tr>
      <w:tr w:rsidR="00207C09" w14:paraId="7476C98F" w14:textId="77777777">
        <w:tc>
          <w:tcPr>
            <w:tcW w:w="4855" w:type="dxa"/>
            <w:shd w:val="clear" w:color="auto" w:fill="FFFFFF"/>
            <w:noWrap/>
            <w:tcMar>
              <w:top w:w="75" w:type="dxa"/>
              <w:left w:w="75" w:type="dxa"/>
              <w:bottom w:w="75" w:type="dxa"/>
              <w:right w:w="75" w:type="dxa"/>
            </w:tcMar>
            <w:vAlign w:val="center"/>
          </w:tcPr>
          <w:p w14:paraId="3973E238" w14:textId="77777777" w:rsidR="00207C09" w:rsidRDefault="00207C09"/>
        </w:tc>
        <w:tc>
          <w:tcPr>
            <w:tcW w:w="4856" w:type="dxa"/>
            <w:shd w:val="clear" w:color="auto" w:fill="FFFFFF"/>
            <w:noWrap/>
            <w:tcMar>
              <w:top w:w="75" w:type="dxa"/>
              <w:left w:w="75" w:type="dxa"/>
              <w:bottom w:w="75" w:type="dxa"/>
              <w:right w:w="75" w:type="dxa"/>
            </w:tcMar>
            <w:vAlign w:val="center"/>
          </w:tcPr>
          <w:p w14:paraId="2DBA5D21" w14:textId="77777777" w:rsidR="00207C09" w:rsidRDefault="009E0459">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61938C35" w14:textId="77777777" w:rsidR="00207C09" w:rsidRDefault="00207C09"/>
        </w:tc>
      </w:tr>
      <w:tr w:rsidR="00207C09" w14:paraId="66FD32CF" w14:textId="77777777">
        <w:tc>
          <w:tcPr>
            <w:tcW w:w="4855" w:type="dxa"/>
            <w:shd w:val="clear" w:color="auto" w:fill="FFFFFF"/>
            <w:noWrap/>
            <w:tcMar>
              <w:top w:w="75" w:type="dxa"/>
              <w:left w:w="75" w:type="dxa"/>
              <w:bottom w:w="75" w:type="dxa"/>
              <w:right w:w="75" w:type="dxa"/>
            </w:tcMar>
            <w:vAlign w:val="center"/>
          </w:tcPr>
          <w:p w14:paraId="0C1F59E7" w14:textId="77777777" w:rsidR="00207C09" w:rsidRDefault="009E0459">
            <w:pPr>
              <w:jc w:val="left"/>
            </w:pPr>
            <w:r>
              <w:t>Atbildīgā persona</w:t>
            </w:r>
          </w:p>
        </w:tc>
        <w:tc>
          <w:tcPr>
            <w:tcW w:w="4856" w:type="dxa"/>
            <w:shd w:val="clear" w:color="auto" w:fill="FFFFFF"/>
            <w:noWrap/>
            <w:tcMar>
              <w:top w:w="75" w:type="dxa"/>
              <w:left w:w="75" w:type="dxa"/>
              <w:bottom w:w="75" w:type="dxa"/>
              <w:right w:w="75" w:type="dxa"/>
            </w:tcMar>
            <w:vAlign w:val="center"/>
          </w:tcPr>
          <w:p w14:paraId="29C8BC93" w14:textId="77777777" w:rsidR="00207C09" w:rsidRDefault="00207C09">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4F71C16" w14:textId="77777777" w:rsidR="00207C09" w:rsidRDefault="00207C09"/>
        </w:tc>
      </w:tr>
      <w:tr w:rsidR="00207C09" w14:paraId="061485D5" w14:textId="77777777">
        <w:tc>
          <w:tcPr>
            <w:tcW w:w="4855" w:type="dxa"/>
            <w:shd w:val="clear" w:color="auto" w:fill="FFFFFF"/>
            <w:noWrap/>
            <w:tcMar>
              <w:top w:w="75" w:type="dxa"/>
              <w:left w:w="75" w:type="dxa"/>
              <w:bottom w:w="75" w:type="dxa"/>
              <w:right w:w="75" w:type="dxa"/>
            </w:tcMar>
            <w:vAlign w:val="center"/>
          </w:tcPr>
          <w:p w14:paraId="1A931F98" w14:textId="77777777" w:rsidR="00207C09" w:rsidRDefault="00207C09"/>
        </w:tc>
        <w:tc>
          <w:tcPr>
            <w:tcW w:w="4856" w:type="dxa"/>
            <w:shd w:val="clear" w:color="auto" w:fill="FFFFFF"/>
            <w:noWrap/>
            <w:tcMar>
              <w:top w:w="75" w:type="dxa"/>
              <w:left w:w="75" w:type="dxa"/>
              <w:bottom w:w="75" w:type="dxa"/>
              <w:right w:w="75" w:type="dxa"/>
            </w:tcMar>
            <w:vAlign w:val="center"/>
          </w:tcPr>
          <w:p w14:paraId="192FCF61" w14:textId="77777777" w:rsidR="00207C09" w:rsidRDefault="009E0459">
            <w:pPr>
              <w:jc w:val="center"/>
            </w:pPr>
            <w:r>
              <w:t>(vārds, uzvārds, paraksts**)</w:t>
            </w:r>
          </w:p>
        </w:tc>
        <w:tc>
          <w:tcPr>
            <w:tcW w:w="4856" w:type="dxa"/>
            <w:shd w:val="clear" w:color="auto" w:fill="FFFFFF"/>
            <w:noWrap/>
            <w:tcMar>
              <w:top w:w="75" w:type="dxa"/>
              <w:left w:w="75" w:type="dxa"/>
              <w:bottom w:w="75" w:type="dxa"/>
              <w:right w:w="75" w:type="dxa"/>
            </w:tcMar>
            <w:vAlign w:val="center"/>
          </w:tcPr>
          <w:p w14:paraId="5A3388D0" w14:textId="77777777" w:rsidR="00207C09" w:rsidRDefault="00207C09"/>
        </w:tc>
      </w:tr>
    </w:tbl>
    <w:p w14:paraId="5C5EEFEE" w14:textId="77777777" w:rsidR="00207C09" w:rsidRDefault="00207C09"/>
    <w:p w14:paraId="4127561A" w14:textId="77777777" w:rsidR="00207C09" w:rsidRDefault="009E0459">
      <w:r>
        <w:t>Piezīmes.</w:t>
      </w:r>
    </w:p>
    <w:p w14:paraId="1D1EF8B7" w14:textId="77777777" w:rsidR="00207C09" w:rsidRDefault="009E0459">
      <w:r>
        <w:t>* Iesniedzējs (fiziskai personai – vārds, uzvārds, juridiskai personai – nosaukums) var tikt publiskots, ja viņš tam ir piekritis. Ja attiecināms, iesniedzējs norāda interešu pārstāvja reģistrācijas numuru.</w:t>
      </w:r>
    </w:p>
    <w:p w14:paraId="48385314" w14:textId="77777777" w:rsidR="00207C09" w:rsidRDefault="009E0459">
      <w:r>
        <w:t>** Dokumenta rekvizītus "datums" un "paraksts" neaizpilda, ja elektroniskais dokuments ir sagatavots atbilstoši normatīvajiem aktiem par elektronisko dokumentu noformēšanu.</w:t>
      </w:r>
    </w:p>
    <w:sectPr w:rsidR="00207C09">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B26F5" w14:textId="77777777" w:rsidR="009E0459" w:rsidRDefault="009E0459">
      <w:r>
        <w:separator/>
      </w:r>
    </w:p>
  </w:endnote>
  <w:endnote w:type="continuationSeparator" w:id="0">
    <w:p w14:paraId="5E72F086" w14:textId="77777777" w:rsidR="009E0459" w:rsidRDefault="009E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71223" w14:textId="77777777" w:rsidR="00207C09" w:rsidRDefault="009E0459">
    <w:pPr>
      <w:jc w:val="right"/>
    </w:pPr>
    <w:r>
      <w:rPr>
        <w:sz w:val="24"/>
        <w:szCs w:val="24"/>
      </w:rPr>
      <w:fldChar w:fldCharType="begin"/>
    </w:r>
    <w:r>
      <w:rPr>
        <w:sz w:val="24"/>
        <w:szCs w:val="24"/>
      </w:rPr>
      <w:instrText>PAGE</w:instrText>
    </w:r>
    <w:r w:rsidR="00CB3F1F">
      <w:rPr>
        <w:sz w:val="24"/>
        <w:szCs w:val="24"/>
      </w:rPr>
      <w:fldChar w:fldCharType="separate"/>
    </w:r>
    <w:r w:rsidR="00CB3F1F">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1ABB" w14:textId="77777777" w:rsidR="009E0459" w:rsidRDefault="009E045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519A9" w14:textId="77777777" w:rsidR="009E0459" w:rsidRDefault="009E0459">
      <w:r>
        <w:separator/>
      </w:r>
    </w:p>
  </w:footnote>
  <w:footnote w:type="continuationSeparator" w:id="0">
    <w:p w14:paraId="054E1C4C" w14:textId="77777777" w:rsidR="009E0459" w:rsidRDefault="009E0459">
      <w:r>
        <w:continuationSeparator/>
      </w:r>
    </w:p>
  </w:footnote>
  <w:footnote w:id="1">
    <w:p w14:paraId="280D25B2" w14:textId="77777777" w:rsidR="00CB3F1F" w:rsidRPr="00AB3D49" w:rsidRDefault="00CB3F1F" w:rsidP="00CB3F1F">
      <w:pPr>
        <w:pStyle w:val="FootnoteText"/>
        <w:rPr>
          <w:lang w:val="lv-LV"/>
        </w:rPr>
      </w:pPr>
      <w:r>
        <w:rPr>
          <w:rStyle w:val="FootnoteReference"/>
        </w:rPr>
        <w:footnoteRef/>
      </w:r>
      <w:r w:rsidRPr="00AB3D49">
        <w:rPr>
          <w:lang w:val="lv-LV"/>
        </w:rPr>
        <w:t xml:space="preserve">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footnote>
  <w:footnote w:id="2">
    <w:p w14:paraId="1B6BE1A0" w14:textId="77777777" w:rsidR="00CB3F1F" w:rsidRPr="009B3653" w:rsidRDefault="00CB3F1F" w:rsidP="00CB3F1F">
      <w:pPr>
        <w:pStyle w:val="FootnoteText"/>
        <w:rPr>
          <w:lang w:val="lv-LV"/>
        </w:rPr>
      </w:pPr>
      <w:r>
        <w:rPr>
          <w:rStyle w:val="FootnoteReference"/>
        </w:rPr>
        <w:footnoteRef/>
      </w:r>
      <w:r w:rsidRPr="009B3653">
        <w:rPr>
          <w:lang w:val="lv-LV"/>
        </w:rPr>
        <w:t xml:space="preserve"> </w:t>
      </w:r>
      <w:r w:rsidRPr="009B3653">
        <w:rPr>
          <w:lang w:val="lv-LV"/>
        </w:rPr>
        <w:t>Uzraudzības komitejas lēmums pieejams ZM t</w:t>
      </w:r>
      <w:r>
        <w:rPr>
          <w:lang w:val="lv-LV"/>
        </w:rPr>
        <w:t xml:space="preserve">īmekļa vietnē: </w:t>
      </w:r>
      <w:hyperlink r:id="rId1" w:history="1">
        <w:r w:rsidRPr="009B3653">
          <w:rPr>
            <w:rStyle w:val="Hyperlink"/>
            <w:lang w:val="lv-LV"/>
          </w:rPr>
          <w:t>šeit</w:t>
        </w:r>
      </w:hyperlink>
    </w:p>
  </w:footnote>
  <w:footnote w:id="3">
    <w:p w14:paraId="14BB874D" w14:textId="77777777" w:rsidR="00CB3F1F" w:rsidRPr="00391CC7" w:rsidRDefault="00CB3F1F" w:rsidP="00CB3F1F">
      <w:pPr>
        <w:pStyle w:val="FootnoteText"/>
        <w:rPr>
          <w:lang w:val="lv-LV"/>
        </w:rPr>
      </w:pPr>
      <w:r>
        <w:rPr>
          <w:rStyle w:val="FootnoteReference"/>
        </w:rPr>
        <w:footnoteRef/>
      </w:r>
      <w:r>
        <w:t xml:space="preserve"> </w:t>
      </w:r>
      <w:r w:rsidRPr="00391CC7">
        <w:rPr>
          <w:lang w:val="lv-LV"/>
        </w:rPr>
        <w:t>Eiropas Parlamenta un Padomes Regula (ES) Nr. 1380/2013 (2013. gada 11. decembris) par kopējo zivsaimniecības politiku un ar ko groza Padomes Regulas (EK) Nr. 1954/2003 un (EK) Nr. 1224/2009 un atceļ Padomes Regulas (EK) Nr. 2371/2002 un (EK) Nr. 639/2004 un Padomes Lēmumu 2004/585/EK</w:t>
      </w:r>
      <w:r>
        <w:rPr>
          <w:lang w:val="lv-LV"/>
        </w:rPr>
        <w:t xml:space="preserve"> 22.pants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EC74" w14:textId="77777777" w:rsidR="00207C09" w:rsidRDefault="009E0459">
    <w:pPr>
      <w:pStyle w:val="Header"/>
      <w:contextualSpacing w:val="0"/>
    </w:pPr>
    <w:r>
      <w:t>Viedokļu pārskats 26-TA-1442</w:t>
    </w:r>
    <w:r>
      <w:br/>
    </w:r>
    <w:r>
      <w:t>Izdrukāts 27.07.2026. 09.45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1A93" w14:textId="77777777" w:rsidR="00207C09" w:rsidRDefault="009E0459">
    <w:pPr>
      <w:pStyle w:val="Header"/>
      <w:contextualSpacing w:val="0"/>
    </w:pPr>
    <w:r>
      <w:t>Viedokļu pārskats 26-TA-1442</w:t>
    </w:r>
    <w:r>
      <w:br/>
    </w:r>
    <w:r>
      <w:t>Izdrukāts 27.07.2026. 09.45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C09"/>
    <w:rsid w:val="00207C09"/>
    <w:rsid w:val="00417E8D"/>
    <w:rsid w:val="009D45C7"/>
    <w:rsid w:val="009E0459"/>
    <w:rsid w:val="00CB3F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1F907"/>
  <w15:docId w15:val="{622770C2-54B3-4C18-957E-71B25FFC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noteText">
    <w:name w:val="footnote text"/>
    <w:basedOn w:val="Normal"/>
    <w:link w:val="FootnoteTextChar"/>
    <w:uiPriority w:val="99"/>
    <w:semiHidden/>
    <w:unhideWhenUsed/>
    <w:rsid w:val="00CB3F1F"/>
    <w:pPr>
      <w:widowControl w:val="0"/>
      <w:ind w:firstLine="720"/>
    </w:pPr>
    <w:rPr>
      <w:rFonts w:eastAsia="Calibri"/>
      <w:color w:val="auto"/>
      <w:sz w:val="20"/>
      <w:lang w:val="en-US" w:eastAsia="en-US"/>
    </w:rPr>
  </w:style>
  <w:style w:type="character" w:customStyle="1" w:styleId="FootnoteTextChar">
    <w:name w:val="Footnote Text Char"/>
    <w:basedOn w:val="DefaultParagraphFont"/>
    <w:link w:val="FootnoteText"/>
    <w:uiPriority w:val="99"/>
    <w:semiHidden/>
    <w:rsid w:val="00CB3F1F"/>
    <w:rPr>
      <w:rFonts w:eastAsia="Calibri"/>
      <w:color w:val="auto"/>
      <w:sz w:val="20"/>
      <w:lang w:val="en-US" w:eastAsia="en-US"/>
    </w:rPr>
  </w:style>
  <w:style w:type="character" w:styleId="FootnoteReference">
    <w:name w:val="footnote reference"/>
    <w:basedOn w:val="DefaultParagraphFont"/>
    <w:uiPriority w:val="99"/>
    <w:semiHidden/>
    <w:unhideWhenUsed/>
    <w:rsid w:val="00CB3F1F"/>
    <w:rPr>
      <w:vertAlign w:val="superscript"/>
    </w:rPr>
  </w:style>
  <w:style w:type="character" w:styleId="Hyperlink">
    <w:name w:val="Hyperlink"/>
    <w:basedOn w:val="DefaultParagraphFont"/>
    <w:uiPriority w:val="99"/>
    <w:unhideWhenUsed/>
    <w:rsid w:val="00CB3F1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m.gov.lv/lv/uzraudzibas-komitejas-lemumi-1"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zm.gov.lv/lv/uzraudzibas-komitejas-lemum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3492</Words>
  <Characters>1991</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viedoklu_parskats_26-TA-1442.docx</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viedoklu_parskats_26-TA-1442.docx</dc:title>
  <dc:creator>Zane Līde</dc:creator>
  <cp:lastModifiedBy>Zane Līde</cp:lastModifiedBy>
  <cp:revision>2</cp:revision>
  <dcterms:created xsi:type="dcterms:W3CDTF">2026-07-28T07:00:00Z</dcterms:created>
  <dcterms:modified xsi:type="dcterms:W3CDTF">2026-07-28T07:00:00Z</dcterms:modified>
</cp:coreProperties>
</file>