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nekustamā īpašuma "Bezmeru ceļš 2"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dalītā īpašuma izveidošanās iespēju nākotnē, lūdzam anotācijas 1.3.sadaļā "Risinājuma apraksts"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 pantam un Publiskas personas mantas atsavināšanas likuma 42. pantam nekustamais īpašums </w:t>
            </w:r>
            <w:r w:rsidR="00000000" w:rsidRPr="00000000" w:rsidDel="00000000">
              <w:rPr>
                <w:rtl w:val="0"/>
              </w:rPr>
              <w:t xml:space="preserve">pēc datu aktualizācijas n</w:t>
            </w:r>
            <w:r w:rsidR="00000000" w:rsidRPr="00000000" w:rsidDel="00000000">
              <w:rPr>
                <w:rtl w:val="0"/>
              </w:rPr>
              <w:t xml:space="preserve">ekustamā īpašuma valsts kadastra informācijas sistēmā</w:t>
            </w:r>
            <w:r w:rsidR="00000000" w:rsidRPr="00000000" w:rsidDel="00000000">
              <w:rPr>
                <w:rtl w:val="0"/>
              </w:rPr>
              <w:t xml:space="preserve"> tiks nodots pašvaldībai </w:t>
            </w:r>
            <w:r w:rsidR="00000000" w:rsidRPr="00000000" w:rsidDel="00000000">
              <w:rPr>
                <w:rtl w:val="0"/>
              </w:rPr>
              <w:t xml:space="preserve">visā tā sastāvā (galvenā lieta - zemes vienība un tās būtiskā daļa -  uz tās esošā inženierbūve ar jebkādiem uzlabojumiem, ja tādi tiks veikti).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apraksta" </w:t>
            </w:r>
            <w:r w:rsidR="00000000" w:rsidRPr="00000000" w:rsidDel="00000000">
              <w:rPr>
                <w:rtl w:val="0"/>
              </w:rPr>
              <w:t xml:space="preserve">trešajā rindkopā norādīts: "Ja iestāsies rīkojuma projekta 2. punktā minētais apstāklis un nekustamais īpašums vairs netiks izmantots norādītās valsts funkcijas izpildei, tas pēc datu aktualizācijas NĪVKIS visā tā sastāvā tiks nodots pašvaldībai saskaņā ar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izvairītos no riskiem, ka pēc plānotās inženierbūves - meža ceļa - uzbūvēšanas izveidojas dalītais īpašums un, lai gūtu pārliecību, kādā veidā tiks nodrošināta Publiskas personas mantas atsavināšanas likuma 42. panta otrajā daļā noteiktā nekustamā īpašuma atpakaļdošanas pienākuma izpilde, ja tas vairs nebūs nepieciešams Meža likuma 4. panta otrajā daļā noteiktās valsts funkcijas īstenošanai, lūdzam precizēt anotācijas 1.3. sadaļas  </w:t>
            </w:r>
            <w:r w:rsidR="00000000" w:rsidRPr="00000000" w:rsidDel="00000000">
              <w:rPr>
                <w:b w:val="1"/>
                <w:rtl w:val="0"/>
              </w:rPr>
              <w:t xml:space="preserve">"Risinājuma apraksts" </w:t>
            </w:r>
            <w:r w:rsidR="00000000" w:rsidRPr="00000000" w:rsidDel="00000000">
              <w:rPr>
                <w:rtl w:val="0"/>
              </w:rPr>
              <w:t xml:space="preserve">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izpildei, tas tiks nodots pašvaldībai visā tā sastāvā (galvenā lieta - zemes vienība un tās būtiskā daļa -  uz tās esošā inženierbūve ar jebkādiem uzlabojumiem, ja tādi tiks veikti) saskaņā ar Civillikuma 968. pantā nostiprināto akcesijas principu un Publiskas personas mantas atsavināšanas likuma 42. pantā ietvertām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“1.3. Pašreizējā situācija, problēmas un risinājumi”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24-TA-2324</w:t>
    </w:r>
    <w:r>
      <w:br/>
    </w:r>
    <w:r w:rsidR="00000000" w:rsidRPr="00000000" w:rsidDel="00000000">
      <w:rPr>
        <w:rtl w:val="0"/>
      </w:rPr>
      <w:t xml:space="preserve">13.11.2024. 08.59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24-TA-2324</w:t>
    </w:r>
    <w:r>
      <w:br/>
    </w:r>
    <w:r w:rsidR="00000000" w:rsidRPr="00000000" w:rsidDel="00000000">
      <w:rPr>
        <w:rtl w:val="0"/>
      </w:rPr>
      <w:t xml:space="preserve">13.11.2024. 08.59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Izziņa_24-TA-2324.docx</dc:title>
</cp:coreProperties>
</file>

<file path=docProps/custom.xml><?xml version="1.0" encoding="utf-8"?>
<Properties xmlns="http://schemas.openxmlformats.org/officeDocument/2006/custom-properties" xmlns:vt="http://schemas.openxmlformats.org/officeDocument/2006/docPropsVTypes"/>
</file>