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24-TA-1502: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4.3.2. specifiskā atbalsta mērķa “Kultūras un tūrisma lomas palielināšana ekonomiskajā attīstībā, sociālajā iekļaušanā un sociālajās inovācijās”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Specifiskā atbalsta mērķis ir uz sociālo iekļaušanu orientēta un mērķa grupas vajadzībās balstīta kultūras piedāvājuma veidošana, kas rada pozitīvu ietekmi uz vietējām kopienām un veicina dialogu ar sociāli mazaizsargātām sabiedrības grupām un ar kultūras pakalpojumu starpniecību mazina sociālo nevienlīdzību un stiprina kopienas kultūras identitāti.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ierosina sekojošu redakciju - Specifiskā atbalsta mērķis ir uz sociālo iekļaušanu orientēta un mērķa grupas vajadzībās balstīta kultūras piedāvājuma veidošana, kas rada pozitīvu ietekmi uz vietējām kopienām un veicina dialogu ar sociāli mazaizsargātām sabiedrības grupām un ar kultūras pakalpojumu starpniecību mazina sociālo nevienlīdzību un stiprina kopienas kultūras identitāti. Papildus tam, šis atbalsts veicina tūrisma attīstību pašvaldībās, izmantojot vietējo kultūras un vēstures mantojumu kā tūrisma piesaistes elementus. Tādējādi tiek radītas jaunas ekonomiskās iespējas, palielināts tūristu skaits un veicināta vietējo uzņēmumu attīstība, kas kopumā veicina reģiona ilgtspējīgu attīstību un labklājību.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saglabātu mērķa aprakstu īsu un kodolīgu, mērķa apraksts īsi papildināts atbilstoši apstiprinātajai Eiropas Savienības kohēzijas politikas programma 2021.-2027. gadam redakcijai (turpmāk –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Specifiskā atbalsta mērķis ir uz sociālo iekļaušanu orientēta un mērķa grupas vajadzībās balstīta kultūras piedāvājuma veidošana, kas rada pozitīvu ietekmi uz vietējām kopienām un veicina dialogu ar sociāli mazaizsargātām sabiedrības grupām un ar kultūras pakalpojumu starpniecību mazina sociālo nevienlīdzību un stiprina kopienas kultūras identitāti, tūrisma plūsmu palielināšanos un stimulē uzņēmējdarbību un nodarbinātību un jaunu darbavietu radīšanu.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Specifiskā atbalsta mērķis ir uz sociālo iekļaušanu orientēta un mērķa grupas vajadzībās balstīta kultūras piedāvājuma veidošana, kas rada pozitīvu ietekmi uz vietējām kopienām un veicina dialogu ar sociāli mazaizsargātām sabiedrības grupām un ar kultūras pakalpojumu starpniecību mazina sociālo nevienlīdzību un stiprina kopienas kultūras identitāti.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Eiropas Savienības kohēzijas politikas programmas 2021.-2027. gadam 4.3.2. specifiskā atbalsta mērķa “Kultūras un tūrisma lomas palielināšana ekonomiskajā attīstībā, sociālajā iekļaušanā un sociālajās inovācijās” īstenošanas noteikumu esošajā redakcijā nav iekļauta sasaite kultūrai ar tūrismu ekonomikas attīstības palielināšanas nolūkā. Ņemot vērā, ka  COVID-19 ierobežojumi bija radījuši smagu ietekmi uz kultūras un tūrisma nozarēm. Ministru kabineta rīkojuma Nr. 841 "Par Eiropas Savienības kohēzijas politikas programmu 2021.–2027. gadam" politikas 4.3.2.SAM "Kultūras un tūrisma lomas palielināšana ekonomiskajā attīstībā, sociālajā iekļaušanā un sociālajās inovācijās" (RSO 4.6.) atbalstāmās darbības nosaka: 3) Kopienas kultūras identitātes stiprināšana un nemateriālā mantojuma potenciāla izmantošana vietējās ekonomikas attīstībai, veicinot kopienu dzīves kvalitātes uzlabošanos, </w:t>
            </w:r>
            <w:r w:rsidR="00000000" w:rsidRPr="00000000" w:rsidDel="00000000">
              <w:rPr>
                <w:u w:val="single"/>
                <w:rtl w:val="0"/>
              </w:rPr>
              <w:t xml:space="preserve">tūrisma plūsmu palielināšanos</w:t>
            </w:r>
            <w:r w:rsidR="00000000" w:rsidRPr="00000000" w:rsidDel="00000000">
              <w:rPr>
                <w:rtl w:val="0"/>
              </w:rPr>
              <w:t xml:space="preserve"> un stimulē uzņēmējdarbību un nodarbinātību un jaunu darbavietu radīšanu. Savukārt, Tūrisma likuma 7.punkts nosaka, ka: 7) kultūras tūrisms — tūrisma veids, kura mērķis ir iepazīšanās ar kultūras vidi: kultūras mantojumu, tradīcijām un dzīvesveidu, kā arī aktuālām kultūras un mākslas norisēm. Tādējādi piedāvājam papildināt 8.punktu, nosakot, ka mērķis ir veicināt arī kultūras tūrisma attīstību.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mērķis ir uz sociālo iekļaušanu orientēta un mērķa grupas vajadzībās balstīta kultūras piedāvājuma veidošana, kas </w:t>
            </w:r>
            <w:r w:rsidR="00000000" w:rsidRPr="00000000" w:rsidDel="00000000">
              <w:rPr>
                <w:color w:val="#e74c3c"/>
                <w:b w:val="1"/>
                <w:rtl w:val="0"/>
              </w:rPr>
              <w:t xml:space="preserve">veicina kultūras tūrisma attīstību,</w:t>
            </w:r>
            <w:r w:rsidR="00000000" w:rsidRPr="00000000" w:rsidDel="00000000">
              <w:rPr>
                <w:rtl w:val="0"/>
              </w:rPr>
              <w:t xml:space="preserve"> rada pozitīvu ietekmi uz vietējām kopienām un veicina dialogu ar sociāli mazaizsargātām sabiedrības grupām un ar kultūras pakalpojumu starpniecību mazina sociālo nevienlīdzību un stiprina kopienas kultūras identitāti.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apraksts papildināts atbilstoši apstiprinātajai Programmai.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saskaņojot Programmas sākotnējās redakcijas, kas iekļāva daudz plašāku kultūras tūrisma aprakstu, Eiropas Komisija norādīja, ka piedāvātais 4.3.2. SAM apraksts par kultūras produktiem un pakalpojumiem drīzāk norāda uz saikni uz 5. politikas mērķi, norādot, ka jāsniedz paskaidrojums par to, kā plānotās darbības atbalsta mazākaizsargāto grupu aktīvu iekļaušanu, tai skaitā pārskatot izvēlētās mērķa grupas, kas neatspoguļo sociālo iekļaušanu.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Specifiskā atbalsta mērķis ir uz sociālo iekļaušanu orientēta un mērķa grupas vajadzībās balstīta kultūras piedāvājuma veidošana, kas rada pozitīvu ietekmi uz vietējām kopienām un veicina dialogu ar sociāli mazaizsargātām sabiedrības grupām un ar kultūras pakalpojumu starpniecību mazina sociālo nevienlīdzību un stiprina kopienas kultūras identitāti, tūrisma plūsmu palielināšanos un stimulē uzņēmējdarbību un nodarbinātību un jaunu darbavietu radīšanu.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10.2.2. rezultāta rādītājs: atbalstīto kultūras un tūrisma vietu apmeklētāji – vismaz 16 500.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definēt mērījumu kā apmeklētāju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skaidrot un pamatot abus specifiskā atbalsta ietvaros sasniedzamos uzraudzības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iznākuma rādītājs: atbalstīto kultūras un tūrisma objektu skaits – vismaz 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rezultāta rādītājs: atbalstīto kultūras un tūrisma vietu apmeklētāji – vismaz 16 500.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rezultāta rādītājs: atbalstīto kultūras un tūrisma vietu </w:t>
            </w:r>
            <w:r w:rsidR="00000000" w:rsidRPr="00000000" w:rsidDel="00000000">
              <w:rPr>
                <w:color w:val="#e74c3c"/>
                <w:b w:val="1"/>
                <w:rtl w:val="0"/>
              </w:rPr>
              <w:t xml:space="preserve">apmeklētāju skaits</w:t>
            </w:r>
            <w:r w:rsidR="00000000" w:rsidRPr="00000000" w:rsidDel="00000000">
              <w:rPr>
                <w:rtl w:val="0"/>
              </w:rPr>
              <w:t xml:space="preserve"> – vismaz 16 500.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ietvaros sasniedzamā rādītāja – atbalstīto kultūras un tūrisma objektu skaits – aprēķins balstīts uz projektu (objektu) priekšizpētes datiem, ņemot vērā iepriekšējo pieredzi līdzīgu projektu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2014.-2020. gada plānošanas periodā 5.5.1. specifiskā atbalsta mērķa “Saglabāt, aizsargāt un attīstīt nozīmīgu kultūras un dabas mantojumu, kā arī attīstīt ar to saistītos pakalpojumus” īstenoto projektu ietvaros, īstenojot kultūras mantojuma objektu atjaunošanas projektus, vidējais attiecināmā finansējuma apjoms vienam objektam ir 1 114 190 </w:t>
            </w:r>
            <w:r w:rsidR="00000000" w:rsidRPr="00000000" w:rsidDel="00000000">
              <w:rPr>
                <w:i w:val="1"/>
                <w:rtl w:val="0"/>
              </w:rPr>
              <w:t xml:space="preserve">euro</w:t>
            </w:r>
            <w:r w:rsidR="00000000" w:rsidRPr="00000000" w:rsidDel="00000000">
              <w:rPr>
                <w:rtl w:val="0"/>
              </w:rPr>
              <w:t xml:space="preserve">. Ņemot vērā, ka 2024. gada sākumā, salīdzinot ar 2019. gadu, izmaksas ir palielinājušās par 39 %, vidējās kopējās izmaksas par viena objekta būvniecību veido 1 548 724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Ekonomikas zonas finanšu instrumenta 2014.-2021. gada perioda programmas “Vietējā attīstība, nabadzības mazināšana un kultūras sadarbība” projektu iesniegumu atklātā konkursa “Atbalsts profesionālās mākslas un kultūras produktu radīšanai bērnu un jauniešu auditorijai” ietvaros, viena projekta izmaksas noteiktas līdz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specifiskā atbalsta ietvaros plānoto kopējo attiecināmo finansējumu 20 166 038 </w:t>
            </w:r>
            <w:r w:rsidR="00000000" w:rsidRPr="00000000" w:rsidDel="00000000">
              <w:rPr>
                <w:i w:val="1"/>
                <w:rtl w:val="0"/>
              </w:rPr>
              <w:t xml:space="preserve">euro </w:t>
            </w:r>
            <w:r w:rsidR="00000000" w:rsidRPr="00000000" w:rsidDel="00000000">
              <w:rPr>
                <w:rtl w:val="0"/>
              </w:rPr>
              <w:t xml:space="preserve">apmērā, kā arī to, ka specifiskā atbalsta ietvaros paredzēts apvienot investīcijas infrastruktūrā ar investīcijām kultūras satura radīšanai, nosakot objektu skaitu, tiek izmantotas izmaksas, kas aprēķinātas sasummējot vienas kultūras infrastruktūras izmaksas ar kultūras satura radīšanas izmaksām, attiecīgi specifiskā atbalsta ietvaros iespējams attīstīt 11 objektus.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specifiskā atbalsta ietvaros sasniedzamā rādītāja – atbalstīto kultūras un tūrisma vietu apmeklētāji – aprēķins veikts saskaņā ar Valsts aizsargājamo kultūras pieminekļu telpiskās analīzes tūrisma kontekstā norādīto pieņēmumu, ka objektu var uzskatīt par iesaistītu tūrismā, ja apmeklējumu skaits gadā svārstās robežās no 300 līdz 1000 apmeklējumiem.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2019. gadā 11 objektos atsauces vērtība noteikta vismaz 1000 apmeklējumi.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objektos, kas ir iesaistīti tūrismā, apmeklējuma pieaugums jānodrošina tādā apmērā, lai var uzskatīt, ka objekts ir populārs tūrismā, attiecīgi paredzot apmeklējuma pieaugumu palielināt par 500 apmeklējumiem katrā objektā, attiecīgi kopā palielinot apmeklējuma pieaugumu par 5 500 apmeklējumiem.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sasniedzamā rādītāja vērtība 2029. gadā plānota 16 500 apmeklētāji.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rezultāta rādītājs: atbalstīto kultūras un tūrisma vietu apmeklētāju skaits – vismaz 16 500.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Specifiskā atbalsta ietvaros plānotais kopējais attiecināmais finansējums ir 20 166 038 </w:t>
            </w:r>
            <w:r w:rsidR="00000000" w:rsidRPr="00000000" w:rsidDel="00000000">
              <w:rPr>
                <w:i w:val="1"/>
                <w:rtl w:val="0"/>
              </w:rPr>
              <w:t xml:space="preserve">euro </w:t>
            </w:r>
            <w:r w:rsidR="00000000" w:rsidRPr="00000000" w:rsidDel="00000000">
              <w:rPr>
                <w:rtl w:val="0"/>
              </w:rPr>
              <w:t xml:space="preserve">(no tā elastības finansējums – 5 243 899 </w:t>
            </w:r>
            <w:r w:rsidR="00000000" w:rsidRPr="00000000" w:rsidDel="00000000">
              <w:rPr>
                <w:i w:val="1"/>
                <w:rtl w:val="0"/>
              </w:rPr>
              <w:t xml:space="preserve">euro</w:t>
            </w:r>
            <w:r w:rsidR="00000000" w:rsidRPr="00000000" w:rsidDel="00000000">
              <w:rPr>
                <w:rtl w:val="0"/>
              </w:rPr>
              <w:t xml:space="preserve">), tai skaitā Eiropas Reģionālās attīstības fonda finansējums 17 141 132 </w:t>
            </w:r>
            <w:r w:rsidR="00000000" w:rsidRPr="00000000" w:rsidDel="00000000">
              <w:rPr>
                <w:i w:val="1"/>
                <w:rtl w:val="0"/>
              </w:rPr>
              <w:t xml:space="preserve">euro </w:t>
            </w:r>
            <w:r w:rsidR="00000000" w:rsidRPr="00000000" w:rsidDel="00000000">
              <w:rPr>
                <w:rtl w:val="0"/>
              </w:rPr>
              <w:t xml:space="preserve">(no tā elastības finansējums – 4 457 314 </w:t>
            </w:r>
            <w:r w:rsidR="00000000" w:rsidRPr="00000000" w:rsidDel="00000000">
              <w:rPr>
                <w:i w:val="1"/>
                <w:rtl w:val="0"/>
              </w:rPr>
              <w:t xml:space="preserve">euro</w:t>
            </w:r>
            <w:r w:rsidR="00000000" w:rsidRPr="00000000" w:rsidDel="00000000">
              <w:rPr>
                <w:rtl w:val="0"/>
              </w:rPr>
              <w:t xml:space="preserve">) un nacionālais finansējums (valsts budžeta līdzfinansējums, pašvaldību līdzfinansējums un privātais līdzfinansējums) – 3 024 906 </w:t>
            </w:r>
            <w:r w:rsidR="00000000" w:rsidRPr="00000000" w:rsidDel="00000000">
              <w:rPr>
                <w:i w:val="1"/>
                <w:rtl w:val="0"/>
              </w:rPr>
              <w:t xml:space="preserve">euro </w:t>
            </w:r>
            <w:r w:rsidR="00000000" w:rsidRPr="00000000" w:rsidDel="00000000">
              <w:rPr>
                <w:rtl w:val="0"/>
              </w:rPr>
              <w:t xml:space="preserve">(no tā elastības finansējums – 786 585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projekta 21. un 22.punktā norādītos finansējuma saņēmējus ir precizējama 11. un 12.punkta redakcija, konkrēti norādot nacionālo līdzfinansējumu pa avotiem - valsts, pašvaldības un privātais līdzfinansējums, vienlaikus precizējot informāciju anotācijā. Norādām, ka nav pamatojuma valsts budžeta līdzekļu plānošanai līdzfinansējuma nodrošināšanai finansējuma saņēmējiem, kas nav budžeta iestādes vai atvasinātas publiskas personas - augstskolas vai zinātniskie institūti.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specifiskā atbalsta ietvaros ir plānota atklāta projektu iesniegumu atlase, nacionālā finansējuma sadalījums starp valsts budžeta līdzfinansējumu, pašvaldību līdzfinansējumu un privāto līdzfinansējumu nav zināms, līdz ar to ir indikatīvi precizēts valsts un pašvaldības finansējuma sadalījums Noteikumu projekta anotācijas 3. sadaļā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Specifiskā atbalsta ietvaros plānotais kopējais attiecināmais finansējums ir 20 166 038 </w:t>
            </w:r>
            <w:r w:rsidR="00000000" w:rsidRPr="00000000" w:rsidDel="00000000">
              <w:rPr>
                <w:i w:val="1"/>
                <w:rtl w:val="0"/>
              </w:rPr>
              <w:t xml:space="preserve">euro </w:t>
            </w:r>
            <w:r w:rsidR="00000000" w:rsidRPr="00000000" w:rsidDel="00000000">
              <w:rPr>
                <w:rtl w:val="0"/>
              </w:rPr>
              <w:t xml:space="preserve">(no tā elastības finansējums – 5 243 899 </w:t>
            </w:r>
            <w:r w:rsidR="00000000" w:rsidRPr="00000000" w:rsidDel="00000000">
              <w:rPr>
                <w:i w:val="1"/>
                <w:rtl w:val="0"/>
              </w:rPr>
              <w:t xml:space="preserve">euro</w:t>
            </w:r>
            <w:r w:rsidR="00000000" w:rsidRPr="00000000" w:rsidDel="00000000">
              <w:rPr>
                <w:rtl w:val="0"/>
              </w:rPr>
              <w:t xml:space="preserve">), tai skaitā Eiropas Reģionālās attīstības fonda finansējums 17 141 132 </w:t>
            </w:r>
            <w:r w:rsidR="00000000" w:rsidRPr="00000000" w:rsidDel="00000000">
              <w:rPr>
                <w:i w:val="1"/>
                <w:rtl w:val="0"/>
              </w:rPr>
              <w:t xml:space="preserve">euro </w:t>
            </w:r>
            <w:r w:rsidR="00000000" w:rsidRPr="00000000" w:rsidDel="00000000">
              <w:rPr>
                <w:rtl w:val="0"/>
              </w:rPr>
              <w:t xml:space="preserve">(no tā elastības finansējums – 4 457 314 </w:t>
            </w:r>
            <w:r w:rsidR="00000000" w:rsidRPr="00000000" w:rsidDel="00000000">
              <w:rPr>
                <w:i w:val="1"/>
                <w:rtl w:val="0"/>
              </w:rPr>
              <w:t xml:space="preserve">euro</w:t>
            </w:r>
            <w:r w:rsidR="00000000" w:rsidRPr="00000000" w:rsidDel="00000000">
              <w:rPr>
                <w:rtl w:val="0"/>
              </w:rPr>
              <w:t xml:space="preserve">) un nacionālais finansējums (valsts budžeta līdzfinansējums, pašvaldību līdzfinansējums un privātais līdzfinansējums) – ne mazāk kā 3 024 906 </w:t>
            </w:r>
            <w:r w:rsidR="00000000" w:rsidRPr="00000000" w:rsidDel="00000000">
              <w:rPr>
                <w:i w:val="1"/>
                <w:rtl w:val="0"/>
              </w:rPr>
              <w:t xml:space="preserve">euro </w:t>
            </w:r>
            <w:r w:rsidR="00000000" w:rsidRPr="00000000" w:rsidDel="00000000">
              <w:rPr>
                <w:rtl w:val="0"/>
              </w:rPr>
              <w:t xml:space="preserve">(no tā elastības finansējums – 786 585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Eiropas Reģionālās attīstības fonda maksimālā finansējuma likme nepārsniedz 85 procentus no projekta kopējām attiecināmajām izmaksām. Valsts budžeta līdzfinansējums ir 15 procenti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iekļauto informāciju, ka valsts budžeta līdzfinansējums tiek piešķirts valsts budžeta iestādēm vai atvasinātām publiskām personām Ministru kabineta 2018. gada 17. jūlija noteikumos Nr. 421 “Kārtība, kādā veic gadskārtējā valsts budžeta likumā noteiktās apropriācijas izmaiņas” noteiktajos gadījumos, savukārt pārējiem finansējuma saņēmējiem līdzfinansējums projektu īstenošanai ir nodrošināms to esošo budžetu līdzekļu ietvaros, ir precizējama Ministru kabineta noteikumu projekta 14.punkta otrā teikuma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Eiropas Reģionālās attīstības fonda maksimālā finansējuma likme nepārsniedz 85 procentus no projekta kopējām attiecināmajām izmaksām. Valsts budžeta līdzfinansējums valsts iestādēm un atvasinātām publiskām personām (augstskolām un zinātniskajiem institūtiem) ir 15 procenti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Reģionālās attīstības fonda maksimālā finansējuma likme nepārsniedz 85 procentus no projekta kopējām attiecināmajām izmaksām. Valsts budžeta līdzfinansējums valsts iestādēm, valsts kapitālsabiedrībām un atvasinātām publiskām personām (augstskolām un zinātniskajiem institūtiem) ir 15 procenti no projekta kopējām attiecināmajām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kapitālsabiedrība valsts budžeta līdzfinansējums paredzams par valsts pārvaldes deleģēto uzdevumu izpildi - par valsts nekustamā īpašuma pārvaldību un valsts nekustamā īpašuma attīstības vadību vai deleģēto valsts pārvaldes uzdevumu kultūras jomā veikšanu atbilstoši līgumiem, kas noslēgti ar Kultūras ministriju par valsts pārvaldes uzdevumu deleģēšanu kultūras jomā un to finansēšanu.”.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Eiropas Reģionālās attīstības fonda maksimālā finansējuma likme nepārsniedz 85 procentus no projekta kopējām attiecināmajām izmaksām. Valsts budžeta līdzfinansējums valsts iestādēm, valsts kapitālsabiedrībām un atvasinātām publiskām personām (augstskolām un zinātniskajiem institūtiem) ir 15 procenti no projekta kopējām attiecināmajām izmaksām. Valsts kapitālsabiedrībai valsts budžeta līdzfinansējums ir pieļaujams par valsts pārvaldes deleģēto uzdevumu izpildi – par valsts nekustamā īpašuma pārvaldību un valsts nekustamā īpašuma attīstības vadību vai deleģēto valsts pārvaldes uzdevumu kultūras jomā veikšanu atbilstoši līgumiem, kas noslēgti ar Kultūras ministriju par valsts pārvaldes uzdevumu deleģēšanu kultūras jomā un to finansēšanu.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Eiropas Reģionālās attīstības fonda maksimālā finansējuma likme nepārsniedz 85 procentus no projekta kopējām attiecināmajām izmaksām. Valsts budžeta līdzfinansējums nav mazāks par 15 procentiem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nelimitētu saistību uzņemšanās valsts budžetam, līdz ar to šajā punktā  attiecībā uz valsts budžeta līdzfinansējuma apmēru ir svītrojami vārdi “nav mazāks par”, attiecīgi precizējot Ministru kabineta noteikumu projekta punkta redakciju un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Eiropas Reģionālās attīstības fonda maksimālā finansējuma likme nepārsniedz 85 procentus no projekta kopējām attiecināmajām izmaksām. Valsts budžeta līdzfinansējums valsts iestādēm, valsts kapitālsabiedrībām un atvasinātām publiskām personām (augstskolām un zinātniskajiem institūtiem) ir 15 procenti no projekta kopējām attiecināmajām izmaksām. Valsts kapitālsabiedrībai valsts budžeta līdzfinansējums ir pieļaujams par valsts pārvaldes deleģēto uzdevumu izpildi – par valsts nekustamā īpašuma pārvaldību un valsts nekustamā īpašuma attīstības vadību vai deleģēto valsts pārvaldes uzdevumu kultūras jomā veikšanu atbilstoši līgumiem, kas noslēgti ar Kultūras ministriju par valsts pārvaldes uzdevumu deleģēšanu kultūras jomā un to finansēšanu.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Eiropas Reģionālās attīstības fonda maksimālā finansējuma likme nepārsniedz 85 procentus no projekta kopējām attiecināmajām izmaksām, ja atbalsta sniegšana specifiskā atbalsta ietvaros tam nav kvalificējama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punktā noteikts, ka Eiropas Reģionālās attīstības fonda maksimālā finansējuma likme nepārsniedz 85 procentus no projekta kopējām attiecināmajām izmaksām, ja atbalsta sniegšana specifiskā atbalsta ietvaros tam nav kvalificējama kā komercdarbības atbalsts. Lūdzam papildināt noteikumu projektu ar normu vai precizēt noteikumu projekta 15. punktu, nosakot, kāda finansējuma likme ir tad, ja atbalsts 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kam atbalsta sniegšana specifiskā atbalsta mērķa ietvaros ir kvalificējama kā komercdarbības atbalsts, atbalsta summas aprēķins noteikts Noteikumu projekta 16. punktā un 18.2.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Eiropas Reģionālās attīstības fonda maksimālā finansējuma likme nepārsniedz 85 procentus no projekta kopējām attiecināmajām izmaksām. Valsts budžeta līdzfinansējums valsts iestādēm, valsts kapitālsabiedrībām un atvasinātām publiskām personām (augstskolām un zinātniskajiem institūtiem) ir 15 procenti no projekta kopējām attiecināmajām izmaksām. Valsts kapitālsabiedrībai valsts budžeta līdzfinansējums ir pieļaujams par valsts pārvaldes deleģēto uzdevumu izpildi – par valsts nekustamā īpašuma pārvaldību un valsts nekustamā īpašuma attīstības vadību vai deleģēto valsts pārvaldes uzdevumu kultūras jomā veikšanu atbilstoši līgumiem, kas noslēgti ar Kultūras ministriju par valsts pārvaldes uzdevumu deleģēšanu kultūras jomā un to finansēšanu.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Specifiskā atbalsta ietvaros projekta iesniedzējs var iesniegt vienu projekta iesniegumu un ar sadarbības partneri slēdz sadarbības līgumu par projekta īstenošanu viena sadarbības projekta ietvaros. Ar projekta iesniedzēju, kas iesniedzis projekta iesniegumu specifiskā atbalsta ietvaros, vienlaikus nevar slēgt sadarbības līgumu kā ar sadarbības partneri cita projekta iesnieguma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ietvaros precizēt, vai projekta iesniedzējs var piesaistīt tikai vienu vai vairākus sadarbības partnerus.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projekta īstenošanai var piesaistīt vienu vai vairākus sadarbības partnerus. Projekta iesniedzējs ar katru sadarbības partneri slēdz rakstveida sadarbības līgumu par pušu pienākumiem, tiesībām un atbildību projekta mērķa un rādītāju sasniegšanā atbilstoši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Specifiskā atbalsta ietvaros projekta iesniedzējs var iesniegt vienu projekta iesniegumu. Ar projekta iesniedzēju, kas iesniedzis projekta iesniegumu specifiskā atbalsta ietvaros, vienlaikus nevar slēgt sadarbības līgumu kā ar sadarbības partneri cita projekta iesnieguma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ja tai ir pieejami valsts budžeta līdzekļi, izvērtējot plānotā avansa apmēru, tā pamatojumu, pamatojoties uz finansējuma saņēmēja rakstisku avansa pieprasījumu, var piešķirt finansējuma saņēmējam, kas nav valsts pārvaldes iestāde, avansu pēc vienošanās un līguma par projekta īstenošanu noslēgšanas.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50 procentiem no projektam piešķirtā Eiropas Reģionālās attīstības fonda finansējums un valsts budžeta līdzfinansējuma kopsummas, ievērojot, ka avansu var izmaksāt vairākos maksājumos un avansa un starpposma maksājumu kopsumma nepārsniedz 90 procentus no projektam piešķirtā Eiropas Reģionālās attīstības fonda un valsts budžeta finansējuma kopsummas. Ja finansējuma saņēmējs ir biedrība vai nodibinājums, tad avansa un starpposma maksājuma kopsumma nepārsniedz 95 procentus no projektam piešķirtā Eiropas Savienības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avansa izlietošana saimnieciskā gada ietvaros ir piemērojama tikai attiecībā uz finansējuma saņēmējiem, kas ir pašvaldības. Tādējādi lūdzam precizēt noteikumu projekta 20.punkta otro teikumu, nosakot, ka tikai uz pašvaldībām attiecināma avansa izlietošana saimnieciskā gada ietvaros. Vienlaikus lūdzam šo tiesību normu papildināt pēc vārdiem "un valsts budžeta līdzfinansējuma kopsummas" ar vārdiem "ja tas paredzēts projektā", ņemot vērā izziņā ietverto skaidrojumu, ka tā kā tiks organizēta atklāta projekta iesniegumu atlase, tad nacionālā finansējuma sadalījums starp valsts budžeta līdzfinansējumu, pašvaldību līdzfinansējumu un privāto līdzfinansējumu nav zināms.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arī papildināt šī paša punkta trešo teikumu, skaidri norādot uz kuriem noteikumu projekta 21.punktā noteiktajiem projekta iesniedzējiem ir attiecināms šis regulējums tiesību normas skaidrai izpratnei, līdzīgi kā tas ir noteikts minētā punkta pēdējā teikumā.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ja biedrība vai nodibinājums saņem avansu un starpposma maksājuma kopsummu atbilstoši Ministru kabineta  2023. gada 25. aprīļa noteikumu Nr. 205 “Valsts budžeta līdzekļu plānošanas kārtība Eiropas Savienības fondu projektu īstenošanai un maksājumu veikšanai 2021.–2027. gada plānošanas periodā” 18.punktā noteiktajam, tad noteikumu projekta anotācijā ir jābūt  pamatojumam šāda avansa un starpposma maksājuma kopsummas apmēra nepieciešamībai, līdz ar to lūdzam papildināt un aktualizēt anotāciju atbilstoši noteikumu projekta 20.punktā noteiktajam regulējumam. Papildus lūdzam noteikumu projekta 20.punkta pēdējā teikumā aizstāt vārdus "Eiropas Savienības fonda" ar vārdiem "Eiropas Reģionālās attīstības fonda", tādējādi norādot precīzu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“Avansa apjoms katram projektam ir nosakāms individuāli. Saskaņā ar Biedrību un nodibinājumu likumu biedrības un nodibinājuma darbībai nav peļņas gūšanas rakstura, attiecīgi biedrības un nodibinājumi finansējumu savai darbībai nodrošina, piesaistot valsts budžeta un ārvalstu finansējumu projektu īstenošanai, līdz ar to, lai mazinātu projekta finanšu plūsmas riskus, būtiski paredzēt, ka   biedrībai vai nodibinājumam avansa un starpposma maksājuma kopsumma nepārsniedz 95 procentus no projektam piešķirtā ERAF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ja tai ir pieejami valsts budžeta līdzekļi, izvērtējot plānotā avansa apmēru, tā pamatojumu, pamatojoties uz finansējuma saņēmēja rakstisku avansa pieprasījumu, var piešķirt finansējuma saņēmējam, kas nav valsts pārvaldes iestāde, avansu pēc vienošanās un līguma par projekta īstenošanu noslēgšanas. Finansējuma saņēmējs, kas ir pašvaldība, avansa pieprasījumu sagatavo un sadarbības iestāde to apstiprina, ņemot vērā, ka plānotā avansa apmērs un tā pamatojums atbilst spējai to izlietot sešu mēnešu laikā saimnieciskā gada ietvaros. Finansējuma saņēmējam avansu var piešķirt līdz 50 procentiem no projektam piešķirtā Eiropas Reģionālās attīstības fonda finansējuma un valsts budžeta līdzfinansējuma kopsummas, ja tas paredzēts projektā, ievērojot, ka avansu var izmaksāt vairākos maksājumos un avansa un starpposma maksājumu kopsumma valsts iestādei, atvasinātai publiskai personai, pašvaldībai, pašvaldības iestādei vai valsts un pašvaldības kapitālsabiedrībai vai citai privāto tiesību juridiskai personai, nepārsniedz 90 procentus un biedrībai un nodibinājumam 95 procentus</w:t>
            </w:r>
            <w:r w:rsidR="00000000" w:rsidRPr="00000000" w:rsidDel="00000000">
              <w:rPr>
                <w:rtl w:val="0"/>
              </w:rPr>
              <w:t xml:space="preserve">​</w:t>
            </w:r>
            <w:r w:rsidR="00000000" w:rsidRPr="00000000" w:rsidDel="00000000">
              <w:rPr>
                <w:rtl w:val="0"/>
              </w:rPr>
              <w:t xml:space="preserve"> no projektam piešķirtā Eiropas Reģionālās attīstības fonda un valsts budžeta finansējuma kopsummas.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 valsts iestāde, pašvaldība, pašvaldības iestāde vai valsts un pašvaldības kapitālsabiedrība, kuras pamatdarbība nav kultūras vai radošajā nozarē, projekta īstenošanai piesaista sadarbības partneri, kura pamatdarbība ir kultūras vai radošajā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atbilstoši precizēt MK noteikumu projekta 22. punktā noteikto, proti, ja projekta iesniedzējs ir pašvaldība, kurai projekta īstenošanai ir jāpiesaista sadarbības partneris, kura pamatdarbība ir kultūras vai radošajā nozarē, ievērojot, ka, piemēram, Rīgas valstspilsētas pašvaldības gadījumā, visas pašvaldības kultūras iestādes, kuru pamatdarbība ir kultūras nozarē, ir reģistrētas ar vienoto pašvaldības reģistrācijas numuru, (piemēram, Pārdaugavas kultūras apvienība, Rīgas centrālā bibliotēka, Kultūras centrs “Ritums”). Līdz ar to, ja juridiski projekta iesniedzējs kultūras nozares iestāžu vārdā ir pašvaldība, kuras pamatdarbība nav kultūras nozare, lai gan faktiski projekta sagatavotājs un īstenotājs būs pašvaldības kultūras iestāde/-es, kuras darbojas kultūras nozarē, lūdzam skaidrot, kā šajā situācijā nodrošināt MK noteikumu projekta 22. punktā noteiktā nosacījuma izpildi. Vienlaikus, ievērojot Izziņas 8.punktā minēto iebildumu un projekta iesniedzēja juridisko statusu, lūdzam precizēt, ja projekta iesniedzējs ir minētā pašvaldības kultūras iestāde ar vienoto pašvaldības reģistrācijas numuru un pašvaldībai nav nepieciešams piesaistīt papildus ārējo sadarbības partneri, kuras organizācijas darbības stratēģiju būtu jāiesniedz Kultūras ministrijai atzinuma saņemšanai, t.i., pašvaldības vai tās kultūras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 punkts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Finansējumu piešķir projekta iesniedzējam, kurš pēc projekta iesnieguma apstiprināšanas ir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Latvijas Republikas publisko vai privāto tiesību juridiskai personai, tiešās vai pastarpinātās pārvaldes iestādei (izņemot šo noteikumu 21.2.apakšpunktā minēto), kuras pamatdarbība ir kultūras vai radošajā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valsts iestādei, pašvaldībai, pašvaldības iestādei vai valsts un pašvaldības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 kas projekta īstenošanai piesaista sadarbības partneri, kura pamatdarbība ir kultūras vai radošajā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kas projekta iesniegumu iesniedz pašvaldības kultūras iestādes, kas ir reģistrētas ar vienoto pašvaldības reģistrācijas numuru un kuras pamatdarbība ir kultūras vai radošajā nozarē, vārdā.”.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 valsts iestāde, pašvaldība, pašvaldības iestāde vai valsts un pašvaldības kapitālsabiedrība, kuras pamatdarbība nav kultūras vai radošajā nozarē, projekta īstenošanai piesaista sadarbības partneri, kura pamatdarbība ir kultūras vai radošajā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Eiropas Savienības kohēzijas politikas programmas 2021.-2027. gadam 4.3.2. specifiskā atbalsta mērķa “Kultūras un tūrisma lomas palielināšana ekonomiskajā attīstībā, sociālajā iekļaušanā un sociālajās inovācijās” īstenošanas noteikumu esošajā redakcijā nav iekļauta sasaite kultūrai ar tūrismu ekonomikas attīstības palielināšanas nolūkā. Ņemot vērā, ka kultūra un tūrisms ir savstarpēji cieši saistīti, un nereti kādā tūrisma objektā ir arī kultūrvēsturiski objekti, piedāvājam paplašināt projekta īstenošanai piesaistīto sadarbības partneru loku, iekļaujot </w:t>
            </w:r>
            <w:r w:rsidR="00000000" w:rsidRPr="00000000" w:rsidDel="00000000">
              <w:rPr>
                <w:b w:val="1"/>
                <w:u w:val="single"/>
                <w:rtl w:val="0"/>
              </w:rPr>
              <w:t xml:space="preserve">tūrisma pakalpojumu sniedzējus,</w:t>
            </w:r>
            <w:r w:rsidR="00000000" w:rsidRPr="00000000" w:rsidDel="00000000">
              <w:rPr>
                <w:rtl w:val="0"/>
              </w:rPr>
              <w:t xml:space="preserve"> kas mijiedarbojoties ar kultūras nozari varētu radīt kompleksu produktu, kur kopumā varētu tikt iekļauts gan kultūras, gan tūrisma aspekts.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 valsts iestāde, pašvaldība, pašvaldības iestāde vai valsts un pašvaldības kapitālsabiedrība, kuras pamatdarbība nav kultūras vai radošajā nozarē, projekta īstenošanai piesaista sadarbības partneri, kura pamatdarbība ir kultūras, </w:t>
            </w:r>
            <w:r w:rsidR="00000000" w:rsidRPr="00000000" w:rsidDel="00000000">
              <w:rPr>
                <w:color w:val="#e74c3c"/>
                <w:b w:val="1"/>
                <w:rtl w:val="0"/>
              </w:rPr>
              <w:t xml:space="preserve">tūrisma</w:t>
            </w:r>
            <w:r w:rsidR="00000000" w:rsidRPr="00000000" w:rsidDel="00000000">
              <w:rPr>
                <w:rtl w:val="0"/>
              </w:rPr>
              <w:t xml:space="preserve"> vai radošajā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arī Programmas apraksts nosaka, ka 4.3.2. SAM ietvaros atbalstāmas investīcijas kultūras piedāvājuma pieejamības nodrošināšanai reģionos, tai skaitā veicinot tūrisma plūsmu palielināšanos, 4.3.2. SAM mērķis ir vērsts uz sociāli mazaizsargāto sabiedrības grupu iekļaušanu.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Saskaņojot Programmas </w:t>
            </w:r>
            <w:r w:rsidR="00000000" w:rsidRPr="00000000" w:rsidDel="00000000">
              <w:rPr>
                <w:u w:val="single"/>
                <w:rtl w:val="0"/>
              </w:rPr>
              <w:t xml:space="preserve">sākotnējās</w:t>
            </w:r>
            <w:r w:rsidR="00000000" w:rsidRPr="00000000" w:rsidDel="00000000">
              <w:rPr>
                <w:rtl w:val="0"/>
              </w:rPr>
              <w:t xml:space="preserve"> redakcijas, kas iekļāva daudz plašāku kultūras tūrisma aprakstu, Eiropas Komisija norādīja, ka sākotnējais piedāvātais 4.3.2. SAM apraksts par kultūras tūrisma produktiem un pakalpojumiem, reģionu atdzīvināšanu, konkurētspējas uzlabošanu utt. drīzāk norāda uz saikni uz 5. politikas mērķi,  norādot, ka  jāsniedz paskaidrojums par to, kā plānotās darbības atbalsta mazākaizsargāto grupu aktīvu iekļaušanu, tai skaitā pārskatot izvēlētās mērķa grupas, kas neatspoguļo  sociālo iekļaušanu, tai skaitā, piemēram, svītrojot starptautiskos tūristus.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4.3.2. SAM ietvaros paredzēts attīstīt kultūras pakalpojumus mazākaizsargātajām grupām, līdz ar to šo funkciju nevar paredzēt īstenot sadarbības partneris, kura pamatdarbība ir tūrisma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veic izmaksu un ieguvumu analīzi, ievērojot, ka projekta ekonomiskā ienesīguma norma ir lielāka par sociālo diskonta likmi un projekta ekonomiskā neto pašreizējā vērtība ir lielāka par nulli,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nosacījumu par projekta izmaksu un ieguvumu analīzi, svītrojot 26.1. un 26.2.apakšpunktu un nosakot, ka izmaksu un ieguvumu analīze jāveic visiem projektiem. Lūdzam veikt atbilstošus precizējumus arī anotācijas 1.3.sadaļā “Pašreizējā situācija, problēmas un risinājumi. Precizējumu lūdzam veikt,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šī ir atklāta atlase, līdz ar to uz šo atlasi neattiecas 2023. gada 13. jūlija protokollēmumā (prot. Nr. 36 85. § 3. punkts) noteiktais par 1 000 000 euro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iesniedzot projekta iesniegumu, tam nebūs iesniegta izmaksu un ieguvumu analīze, jo tas nav plānots kā projekts kurš pretendē uz atbalstu saskaņā ar Komisijas regulas Nr. 651/2014 53. pantu, tas projekta pārskata periodā var kļūt par 53. panta atbalsta projektu un līdz ar to projekta iesniedzējam var būt problēmas izstrādāt un iesniegt projekta izmaksu un ieguvumu analīzi, pamatojot MK noteikumu 26.punktā noteiktos projekta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veic izmaksu un ieguvumu analīzi, ievērojot, ka projekta ekonomiskā ienesīguma norma ir lielāka par sociālo diskonta likmi un projekta ekonomiskā neto pašreizējā vērtība ir lielāka par nulli.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15. novembra sanāksmē, kurā piedalījās Centrālās finanšu un līgumu aģentūras un Kultūras ministrijas pārstāvji panākta vienošanās, ka var tikt saglabāta Noteikumu projekta redakcija, kas paredz, ka izdevumu un ieguvumu analīze ir jāizstrādā gadījumos, ja projekta kopējās attiecināmās izmaksas ir vismaz 1 000 000 </w:t>
            </w:r>
            <w:r w:rsidR="00000000" w:rsidRPr="00000000" w:rsidDel="00000000">
              <w:rPr>
                <w:i w:val="1"/>
                <w:rtl w:val="0"/>
              </w:rPr>
              <w:t xml:space="preserve">euro </w:t>
            </w:r>
            <w:r w:rsidR="00000000" w:rsidRPr="00000000" w:rsidDel="00000000">
              <w:rPr>
                <w:rtl w:val="0"/>
              </w:rPr>
              <w:t xml:space="preserve">un/vai projekta iesniedzējs pretendē uz komercdarbības atbalstu saskaņā ar Komisijas regulas Nr. 651/2014 53.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veic izmaksu un ieguvumu analīzi, ievērojot, ka projekta ekonomiskā ienesīguma norma ir lielāka par sociālo diskonta likmi un projekta ekonomiskā neto pašreizējā vērtība ir lielāka par nulli,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iesniedzējam vai sadarbības partnerim, kura pamatdarbība ir kultūras vai radošajā nozarē, uz projekta iesniegšanas dienu ir apstiprināta organizācijas darbības stratēģija, kurā noteikti vidēja termiņa darbības mērķi, kas liecina par sabiedrības ieguvumiem no projektā attīstītajiem pakalpojumiem, paredz veicināt kultūras pakalpojumu pieejamību, tostarp attīstot pakalpojumus vismaz divām dažādām sociāli mazaizsargāto iedzīvotāju grupām, un saņemts Kultūras ministrijas atzinums par stratēģijas 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Eiropas Savienības kohēzijas politikas programmas 2021.-2027. gadam 4.3.2. specifiskā atbalsta mērķa “Kultūras un tūrisma lomas palielināšana ekonomiskajā attīstībā, sociālajā iekļaušanā un sociālajās inovācijās” īstenošanas noteikumu esošajā redakcijā nav iekļauta sasaite kultūrai ar tūrismu ekonomikas attīstības palielināšanas nolūkā. Ņemot vērā, ka aicinājām papildināt sadarbības partneru loku arī ar tūrisma pakalpojumu sniedzējiem, aicinām arī papildināt 27.punktu ar tūrisma pakalpojumu sniedzējiem.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iesniedzējam vai sadarbības partnerim, kura pamatdarbība ir kultūras, </w:t>
            </w:r>
            <w:r w:rsidR="00000000" w:rsidRPr="00000000" w:rsidDel="00000000">
              <w:rPr>
                <w:color w:val="#e74c3c"/>
                <w:b w:val="1"/>
                <w:rtl w:val="0"/>
              </w:rPr>
              <w:t xml:space="preserve">tūrisma</w:t>
            </w:r>
            <w:r w:rsidR="00000000" w:rsidRPr="00000000" w:rsidDel="00000000">
              <w:rPr>
                <w:rtl w:val="0"/>
              </w:rPr>
              <w:t xml:space="preserve"> vai radošajā nozarē, uz projekta iesniegšanas dienu ir apstiprināta organizācijas darbības stratēģija, kurā noteikti vidēja termiņa darbības mērķi, kas liecina par sabiedrības ieguvumiem no projektā attīstītajiem pakalpojumiem, paredz veicināt kultūras pakalpojumu pieejamību, tostarp attīstot pakalpojumus vismaz divām dažādām sociāli mazaizsargāto iedzīvotāju grupām, un saņemts Kultūras ministrijas atzinums par stratēģijas atbilstību.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arī Programmas apraksts nosaka, ka 4.3.2. SAM ietvaros atbalstāmas investīcijas kultūras piedāvājuma pieejamības nodrošināšanai reģionos, tai skaitā veicinot tūrisma plūsmu palielināšanos, 4.3.2. SAM mērķis ir vērsts uz sociāli mazaizsargāto sabiedrības grupu iekļaušanu.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Skaņojot Programmas </w:t>
            </w:r>
            <w:r w:rsidR="00000000" w:rsidRPr="00000000" w:rsidDel="00000000">
              <w:rPr>
                <w:u w:val="single"/>
                <w:rtl w:val="0"/>
              </w:rPr>
              <w:t xml:space="preserve">sākotnējās</w:t>
            </w:r>
            <w:r w:rsidR="00000000" w:rsidRPr="00000000" w:rsidDel="00000000">
              <w:rPr>
                <w:rtl w:val="0"/>
              </w:rPr>
              <w:t xml:space="preserve"> redakcijas, kas iekļāva daudz plašāku kultūras tūrisma aprakstu, Eiropas Komisija norādīja, ka sākotnējais piedāvātais 4.3.2. SAM apraksts par kultūras produktiem un pakalpojumiem, reģionu atdzīvināšanu, konkurētspējas uzlabošanu utt. drīzāk norāda uz saikni uz 5. politikas mērķi,  norādot, ka  jāsniedz paskaidrojums par to, kā plānotās darbības atbalsta mazākaizsargāto grupu aktīvu iekļaušanu, tai skaitā pārskatot izvēlētās mērķa grupas, kas neatspoguļo  sociālo iekļaušanu, tai skaitā, piemēram, svītrojot starptautiskos tūristus.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4.3.2. SAM ietvaros paredzēts attīstīt kultūras pakalpojumus mazākaizsargātajām grupām, līdz ar to šo funkciju nevar paredzēt īstenot sadarbības partneris, kura pamatdarbība ir tūrisma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iesniedzējam vai sadarbības partnerim, kura pamatdarbība ir kultūras vai radošajā nozarē, uz projekta iesniegšanas dienu ir izstrādāta organizācijas darbības stratēģija, kurā noteikti vidēja termiņa darbības mērķi, kas liecina par sabiedrības ieguvumiem no projektā attīstītajiem pakalpojumiem, paredz veicināt kultūras pakalpojumu piekļūstamību, tostarp attīstot pakalpojumus vismaz vienai sociāli mazaizsargāto iedzīvotāju grupai.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iesniedzējam vai sadarbības partnerim, kura pamatdarbība ir kultūras vai radošajā nozarē, uz projekta iesniegšanas dienu ir apstiprināta organizācijas darbības stratēģija, kurā noteikti vidēja termiņa darbības mērķi, kas liecina par sabiedrības ieguvumiem no projektā attīstītajiem pakalpojumiem, paredz veicināt kultūras pakalpojumu piekļūstamību, tostarp attīstot pakalpojumus vismaz vienai sociāli mazaizsargāto iedzīvotāju grupai.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Kultūras ministrijas skaidrojumu par Noteikumu projekta 29. punktu (iepriekš 27.punkts). Norādām, ka Ekonomikas ministrijas ieskatā Eiropas Savienības kohēzijas politikas programmas 2021. - 2027.gadam 4.3.2. specifiskā atbalsta mērķis “Kultūras un tūrisma lomas palielināšana ekonomiskajā attīstībā, sociālajā iekļaušanā un sociālajās inovācijās” nenosaka, ka projekta iesniedzēja vai sadarbības partnera pamatdarbība var būt tikai kultūras vai radošā nozare. Lūdzam skaidrot Kultūras ministriju, kāpēc, nodrošinot 4.3.2. SAM ietvaros paredzēto kultūras pakalpojumu attīstību un pieejamību mazāk aizsargātajām grupām, to nevarētu īstenot sadarbības partneris, kura pamatdarbība ir tūrisma nozarē. Arī praksē ir piemēri, kad pakalpojumu sniedzējs, kura pamatdarbība ir tūrisma nozarē, vienlaicīgi var piedāvāt ne tikai tūrisma, bet arī kultūras un kultūrvēstures pakalpojumus, īpaši, ja kultūras vai kultūrvēstures objekts jau atrodas starp tūrisma objektiem.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29.punktu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iesniedzējam vai sadarbības partnerim, kura pamatdarbība ir kultūras, </w:t>
            </w:r>
            <w:r w:rsidR="00000000" w:rsidRPr="00000000" w:rsidDel="00000000">
              <w:rPr>
                <w:b w:val="1"/>
                <w:u w:val="single"/>
                <w:rtl w:val="0"/>
              </w:rPr>
              <w:t xml:space="preserve">tūrisma </w:t>
            </w:r>
            <w:r w:rsidR="00000000" w:rsidRPr="00000000" w:rsidDel="00000000">
              <w:rPr>
                <w:rtl w:val="0"/>
              </w:rPr>
              <w:t xml:space="preserve">vai radošajā nozarē, uz projekta iesniegšanas dienu ir apstiprināta organizācijas darbības stratēģija, kurā noteikti vidēja termiņa darbības mērķi, kas liecina par sabiedrības ieguvumiem no projektā attīstītajiem pakalpojumiem, paredz veicināt kultūras pakalpojumu piekļūstamību, tostarp attīstot pakalpojumus vismaz vienai sociāli mazaizsargāto iedzīvotāju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iesniedzējam vai sadarbības partnerim, kura pamatdarbība ir kultūras, </w:t>
            </w:r>
            <w:r w:rsidR="00000000" w:rsidRPr="00000000" w:rsidDel="00000000">
              <w:rPr>
                <w:b w:val="1"/>
                <w:u w:val="single"/>
                <w:rtl w:val="0"/>
              </w:rPr>
              <w:t xml:space="preserve">tūrisma</w:t>
            </w:r>
            <w:r w:rsidR="00000000" w:rsidRPr="00000000" w:rsidDel="00000000">
              <w:rPr>
                <w:u w:val="single"/>
                <w:rtl w:val="0"/>
              </w:rPr>
              <w:t xml:space="preserve"> </w:t>
            </w:r>
            <w:r w:rsidR="00000000" w:rsidRPr="00000000" w:rsidDel="00000000">
              <w:rPr>
                <w:rtl w:val="0"/>
              </w:rPr>
              <w:t xml:space="preserve">vai radošajā nozarē, uz projekta iesniegšanas dienu ir apstiprināta organizācijas darbības stratēģija, kurā noteikti vidēja termiņa darbības mērķi, kas liecina par sabiedrības ieguvumiem no projektā attīstītajiem pakalpojumiem, paredz veicināt kultūras pakalpojumu piekļūstamību, tostarp attīstot pakalpojumus vismaz vienai sociāli mazaizsargāto iedzīvotāju grupai.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pakalpojuma sniedzējs, kura pamatdarbība ir tūrisma nozarē, var nodrošināt kultūras tūrisma pakalpojumus, īpaši, ja kultūras vai kultūrvēstures objekts jau atrodas starp tūrisma objektiem, tomēr 4.3.2. SAM gadījumā tiek atbalstīta nevis kultūras tūrisma pakalpojuma attīstība, bet gan uz sociālo iekļaušanu orientēta un mērķa grupas vajadzībās balstīta kultūras piedāvājuma 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nosaka, ka nepieciešams stiprināt </w:t>
            </w:r>
            <w:r w:rsidR="00000000" w:rsidRPr="00000000" w:rsidDel="00000000">
              <w:rPr>
                <w:b w:val="1"/>
                <w:rtl w:val="0"/>
              </w:rPr>
              <w:t xml:space="preserve">kultūras resursu</w:t>
            </w:r>
            <w:r w:rsidR="00000000" w:rsidRPr="00000000" w:rsidDel="00000000">
              <w:rPr>
                <w:rtl w:val="0"/>
              </w:rPr>
              <w:t xml:space="preserve"> nozīmi inovāciju, labbūtības, veselības, mūžizglītības un sociālā kapitāla veicināšanā, atbalstot kultūras līdzdalību, </w:t>
            </w:r>
            <w:r w:rsidR="00000000" w:rsidRPr="00000000" w:rsidDel="00000000">
              <w:rPr>
                <w:b w:val="1"/>
                <w:rtl w:val="0"/>
              </w:rPr>
              <w:t xml:space="preserve">veidojot jaunus kultūras produktus</w:t>
            </w:r>
            <w:r w:rsidR="00000000" w:rsidRPr="00000000" w:rsidDel="00000000">
              <w:rPr>
                <w:rtl w:val="0"/>
              </w:rPr>
              <w:t xml:space="preserve"> un pakalpojumus, kuri ļautu veidot arī jaunas darba vietas. Izmantojot radošo nozaru, kultūras kapitāla, inovāciju un tehnoloģiju iespējas, plānots attīstīt jaunus satura virzienus un pakalpojumus, nodrošinot auditorijas attīstību un dialogu ar mazākaizsargāto sabiedrības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4.3.2. SAM ietvaros paredzēta t</w:t>
            </w:r>
            <w:r w:rsidR="00000000" w:rsidRPr="00000000" w:rsidDel="00000000">
              <w:rPr>
                <w:u w:val="single"/>
                <w:rtl w:val="0"/>
              </w:rPr>
              <w:t xml:space="preserve">ieši kultūras satura</w:t>
            </w:r>
            <w:r w:rsidR="00000000" w:rsidRPr="00000000" w:rsidDel="00000000">
              <w:rPr>
                <w:rtl w:val="0"/>
              </w:rPr>
              <w:t xml:space="preserve"> attīstība, neatbalstām, ka projekta ietvaros kultūras satura veidotājs var būt tūrisma nozares pārstāvis.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iesniedzējam vai sadarbības partnerim, kura pamatdarbība ir kultūras vai radošajā nozarē, uz projekta iesniegšanas dienu ir izstrādāta organizācijas darbības stratēģija, kurā noteikti vidēja termiņa darbības mērķi, kas liecina par sabiedrības ieguvumiem no projektā attīstītajiem pakalpojumiem, paredz veicināt kultūras pakalpojumu piekļūstamību, tostarp attīstot pakalpojumus vismaz vienai sociāli mazaizsargāto iedzīvotāju grupai.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un sadarbības partneris: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informāciju, ka finansējuma saņēmējs un sadarbības partneris nodrošina sasniegto rezultātu ilgtspēju vismaz piecus gadus pēc noslēguma maksājuma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Eiropas Parlamenta un Padomes 2021. gada 14.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pantam ERAF vai KF ieguldījumos (infrastruktūras būvniecībā, aprīkojuma, tehniskā nodrošinājuma iegādē un IKT infrastruktūra) ilgtspēja jānodrošina vismaz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32.8.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nodrošina projekta ietvaros sasniegto rezultātu ilgtspēju vismaz piecus gadus pēc noslēguma maksājuma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un sadarbības partneris: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sniedz sadarbības iestādei informāciju par šo noteikumu </w:t>
            </w:r>
            <w:r w:rsidR="00000000" w:rsidRPr="00000000" w:rsidDel="00000000">
              <w:rPr>
                <w:rtl w:val="0"/>
              </w:rPr>
              <w:t xml:space="preserve">30.3. </w:t>
            </w:r>
            <w:r w:rsidR="00000000" w:rsidRPr="00000000" w:rsidDel="00000000">
              <w:rPr>
                <w:rtl w:val="0"/>
              </w:rPr>
              <w:t xml:space="preserve">apakšpunktā</w:t>
            </w:r>
            <w:r w:rsidR="00000000" w:rsidRPr="00000000" w:rsidDel="00000000">
              <w:rPr>
                <w:rtl w:val="0"/>
              </w:rPr>
              <w:t xml:space="preserve"> minētajiem horizontālo principu rādītājiem;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anotācijā skaidrot, kādi dati ir jāuzkrāj, lai nodrošinātu MK noteikumu projekta 30.4. apakšpunktā minētā nosacījumu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Noteikuma projekta anotācijas 8.2. sadaļā norādītajai informācijai, finansējuma saņēmējs un sadarbības partneris nodrošina datu uzkrāšanu par horizontālā principa “Vienlīdzība, iekļaušana, nediskriminācija un pamattiesību ievērošana” rādītāju –  objektu skaits, kuros ERAF/KF ieguldījumu rezultātā ir nodrošināta vides un informācijas pieejamība –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sniedz sadarbības iestādei informāciju par šo noteikumu </w:t>
            </w:r>
            <w:r w:rsidR="00000000" w:rsidRPr="00000000" w:rsidDel="00000000">
              <w:rPr>
                <w:rtl w:val="0"/>
              </w:rPr>
              <w:t xml:space="preserve">33.3. </w:t>
            </w:r>
            <w:r w:rsidR="00000000" w:rsidRPr="00000000" w:rsidDel="00000000">
              <w:rPr>
                <w:rtl w:val="0"/>
              </w:rPr>
              <w:t xml:space="preserve">apakšpunktā</w:t>
            </w:r>
            <w:r w:rsidR="00000000" w:rsidRPr="00000000" w:rsidDel="00000000">
              <w:rPr>
                <w:rtl w:val="0"/>
              </w:rPr>
              <w:t xml:space="preserve"> minētajiem horizontālo principu rādītājiem;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uz sociālo iekļaušanu orientētu jaunu kultūras pakalpojumu radīšana vai esošo kultūras pakalpojumu pielāgošana sociāli mazaizsargātam iedzīvotāju grupām, tostarp kultūras pakalpojumu saturiskā tvēruma paplašināšana un kultūras pakalpojumu piekļūstamības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Eiropas Savienības kohēzijas politikas programmas 2021.-2027. gadam 4.3.2. specifiskā atbalsta mērķa “Kultūras un tūrisma lomas palielināšana ekonomiskajā attīstībā, sociālajā iekļaušanā un sociālajās inovācijās” īstenošanas noteikumu esošajā redakcijā nav iekļauta sasaite kultūrai ar tūrismu ekonomikas attīstības palielināšanas nolūkā. Ņemot vērā Ministru kabineta rīkojuma Nr. 841 "Par Eiropas Savienības kohēzijas politikas programmu 2021.–2027. gadam" politikas 4.3.2.SAM "Kultūras un tūrisma lomas palielināšana ekonomiskajā attīstībā, sociālajā iekļaušanā un sociālajās inovācijās" (RSO 4.6.) atbalstāmās darbības, kas nosaka, ka: 3) Kopienas kultūras identitātes stiprināšana un nemateriālā mantojuma potenciāla izmantošana vietējās ekonomikas attīstībai, veicinot kopienu dzīves kvalitātes uzlabošanos, tūrisma plūsmu palielināšanos un stimulē uzņēmējdarbību un nodarbinātību un jaunu darbavietu radīšanu, aicinām papildināt 31.1. punktu, iekļaujot </w:t>
            </w:r>
            <w:r w:rsidR="00000000" w:rsidRPr="00000000" w:rsidDel="00000000">
              <w:rPr>
                <w:b w:val="1"/>
                <w:u w:val="single"/>
                <w:rtl w:val="0"/>
              </w:rPr>
              <w:t xml:space="preserve">jaunu kultūras tūrisma pakalpojumu radīšanu vai esošo kultūras tūrisma pakalpojumu pielāgošanu.</w:t>
            </w:r>
            <w:r w:rsidR="00000000" w:rsidRPr="00000000" w:rsidDel="00000000">
              <w:rPr>
                <w:rtl w:val="0"/>
              </w:rPr>
              <w:t xml:space="preserve"> Tūrisma likuma 7.punkts nosaka, ka: 7) kultūras tūrisms — tūrisma veids, kura mērķis ir iepazīšanās ar kultūras vidi: kultūras mantojumu, tradīcijām un dzīvesveidu, kā arī aktuālām kultūras un mākslas norisēm.Tādējādi apvienojot iespēju cilvēkiem baudīt ne tikai kultūras sadaļu, bet izmantot arī tūrisma sniegtās priekšrocības.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sociālo iekļaušanu orientētu jaunu kultūras pakalpojumu radīšana vai esošo kultūras pakalpojumu pielāgošana sociāli </w:t>
            </w:r>
            <w:r w:rsidR="00000000" w:rsidRPr="00000000" w:rsidDel="00000000">
              <w:rPr>
                <w:b w:val="1"/>
                <w:rtl w:val="0"/>
              </w:rPr>
              <w:t xml:space="preserve">mazaizsargātām </w:t>
            </w:r>
            <w:r w:rsidR="00000000" w:rsidRPr="00000000" w:rsidDel="00000000">
              <w:rPr>
                <w:rtl w:val="0"/>
              </w:rPr>
              <w:t xml:space="preserve">iedzīvotāju grupām, tostarp </w:t>
            </w:r>
            <w:r w:rsidR="00000000" w:rsidRPr="00000000" w:rsidDel="00000000">
              <w:rPr>
                <w:color w:val="#e74c3c"/>
                <w:b w:val="1"/>
                <w:rtl w:val="0"/>
              </w:rPr>
              <w:t xml:space="preserve">kultūras tūrisma veicināšana,</w:t>
            </w:r>
            <w:r w:rsidR="00000000" w:rsidRPr="00000000" w:rsidDel="00000000">
              <w:rPr>
                <w:rtl w:val="0"/>
              </w:rPr>
              <w:t xml:space="preserve"> kultūras pakalpojumu saturiskā tvēruma paplašināšana un kultūras pakalpojumu piekļūstamības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arī Programmas apraksts nosaka, ka 4.3.2. SAM ietvaros atbalstāmas investīcijas kultūras piedāvājuma pieejamības nodrošināšanai reģionos, tai skaitā veicinot tūrisma plūsmu palielināšanos, 4.3.2. SAM mērķis ir vērsts uz sociāli mazaizsargāto sabiedrības grupu iekļaušanu.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Skaņojot Programmas </w:t>
            </w:r>
            <w:r w:rsidR="00000000" w:rsidRPr="00000000" w:rsidDel="00000000">
              <w:rPr>
                <w:u w:val="single"/>
                <w:rtl w:val="0"/>
              </w:rPr>
              <w:t xml:space="preserve">sākotnējās</w:t>
            </w:r>
            <w:r w:rsidR="00000000" w:rsidRPr="00000000" w:rsidDel="00000000">
              <w:rPr>
                <w:rtl w:val="0"/>
              </w:rPr>
              <w:t xml:space="preserve"> redakcijas, kas iekļāva daudz plašāku kultūras tūrisma aprakstu, Eiropas Komisija norādīja, ka sākotnējais piedāvātais 4.3.2. SAM apraksts par kultūras tūrisma produktiem un pakalpojumiem, reģionu atdzīvināšanu, konkurētspējas uzlabošanu utt. drīzāk norāda uz saikni uz 5. politikas mērķi,  norādot, ka  jāsniedz paskaidrojums par to, kā plānotās darbības atbalsta mazākaizsargāto grupu aktīvu iekļaušanu, tai skaitā pārskatot izvēlētās mērķa grupas, kas neatspoguļo  sociālo iekļaušanu, tai skaitā, piemēram, svītrojot starptautiskos tūristus.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skaidrojam, ka 4.3.2. SAM ietvaros nav paredzēts attīstīt kultūras tūrisma pakalpojumus, bet gan kultūras pakalpojumus mazākaizsargātajām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uz sociālo iekļaušanu orientētu jaunu kultūras pakalpojumu radīšana vai esošo kultūras pakalpojumu pielāgošana sociāli mazaizsargātam iedzīvotāju grupām, tostarp kultūras pakalpojumu saturiskā tvēruma paplašināšana un kultūras pakalpojumu piekļūstamības nodrošināšana;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Izmaksas ir attiecināmas no šo noteikumu spēkā stāšanās, ja šīs izmaksas nav saistītas ar komercdarbības atbalstu. Projektā neiekļauj darbības, kas ir pabeigtas vienošanās vai līguma par projekta īstenošanu noslēgšanas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2021.-2027.gada plānošanas perioda vadības likuma 36.pants paredz, ka projektā radušās izmaksas var uzskatīt par attiecināmām, ja tās radušās un samaksātas pēc 2021.gada 1.janvāra un izmaksu attiecināmības nosacījumi, kas noteikti saskaņā ar šā likuma 19.panta 13.punktu, neparedz citu termiņu. Noteikumu projekta 1.7.apakšpunkts paredz noteikumos noteikt komercdarbības atbalsta saņemšanas nosacījumus. Lūdzam precizēt vai papildināt noteikumu projekta 32.punkta regulējumu, jo minētais regulējums nav skaidrs un rada interpretācijas problēmas par attiecināmības termiņu, gadījumā, ja izmaksas ir saistītas 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 punkts izteikts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izmaksas ir attiecināmas,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projektā neiekļauj darbības, kas ir pabeigtas vienošanās vai līguma par projekta īstenošanu noslēgšanas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ja projekts nav saistīts ar komercdarbības atbalsta saņemšanu, izmaksas ir attiecināmas no šo noteikumu spēkā stāšanās dienas;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komercdarbības atbalsta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34.3.1. izmaksas ir attiecināmas no dienas, kad projekta iesniegumu iesniedz sadarbības iestādē vai kad ir pieņemts Eiropas Komisijas lēmums, ar kuru paziņotais valsts atbalsts komercdarbībai ir atzīts par saderīgu ar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34.3.2. darbības, kas uzsāktas pirms projekta iesnieguma iesniegšanas vai pirms ir pieņemts Eiropas Komisijas lēmums, ar kuru paziņotais valsts atbalsts komercdarbībai ir atzīts par saderīgu ar iekšējo tirgu, attiecināmas </w:t>
            </w:r>
            <w:r w:rsidR="00000000" w:rsidRPr="00000000" w:rsidDel="00000000">
              <w:rPr>
                <w:i w:val="1"/>
                <w:rtl w:val="0"/>
              </w:rPr>
              <w:t xml:space="preserve">de minimis</w:t>
            </w:r>
            <w:r w:rsidR="00000000" w:rsidRPr="00000000" w:rsidDel="00000000">
              <w:rPr>
                <w:rtl w:val="0"/>
              </w:rPr>
              <w:t xml:space="preserve"> atbalsta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izmaksas ir attiecināmas no šo noteikumu spēkā stāšanās dienas, ievērojot, ka projektā neiekļauj darbības, kas ir pabeigtas vienošanās vai līguma par projekta īstenošanu noslēgšanas brīdī.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komercdarbības atbalsta gadījumā izmaksas ir attiecināmas no dienas, kad projekta iesniegumu iesniedz sadarbības iestādē vai kad ir pieņemts Eiropas Komisijas lēmums, ar kuru paziņotais valsts atbalsts komercdarbībai ir atzīts par saderīgu ar iekšējo tirgu.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ņemot vērā Līguma par Eiropas Savienības darbību (turpmāk - Līgums) 109. pantā noteikto, komercdarbības atbalsta gadījumā, piemērojot Regulu Nr. 651/2014, ar ko noteiktas atbalsta kategorijas atzītas par saderīgām ar iekšējo tirgu, piemērojot Līguma 107. un 108. pantu, Eiropas Komisijas lēmums nav nepieciešams, jo atbilstoši Regulas Nr.651/2014 53.panta 1.punktā noteiktajam, atbalsts kultūrai un kultūrvēsturiskā mantojuma saglabāšanai ir saderīgs ar iekšējo tirgu Līguma 107. panta 3. punkta nozīmē un ir atbrīvots no Līguma 108. panta 3. punktā noteiktās paziņošanas prasības, ja ir izpildīti šajā pantā un I nodaļā paredzētie nosacījumi. Attiecīgi lūdzam svītrot noteikumu projekta 34.3.apakšpunktā iekļauto teikuma daļu: "vai kad ir pieņemts Eiropas Komisijas lēmums, ar kuru paziņotais valsts atbalsts komercdarbībai ir atzīts par saderīgu ar iekšējo tirgu".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35. punkts izteikts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izmaksas ir attiecināmas no šo noteikumu spēkā stāšanās dienas, ievērojot, ka projektā neiekļauj darbības, kas ir pabeigtas vienošanās vai līguma par projekta īstenošanu noslēgšanas brīdī.”.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34.3.2. darbības, kas uzsāktas pirms projekta iesnieguma iesniegšanas vai pirms ir pieņemts Eiropas Komisijas lēmums, ar kuru paziņotais valsts atbalsts komercdarbībai ir atzīts par saderīgu ar iekšējo tirgu, attiecināmas </w:t>
            </w:r>
            <w:r w:rsidR="00000000" w:rsidRPr="00000000" w:rsidDel="00000000">
              <w:rPr>
                <w:i w:val="1"/>
                <w:rtl w:val="0"/>
              </w:rPr>
              <w:t xml:space="preserve">de minimis</w:t>
            </w:r>
            <w:r w:rsidR="00000000" w:rsidRPr="00000000" w:rsidDel="00000000">
              <w:rPr>
                <w:rtl w:val="0"/>
              </w:rPr>
              <w:t xml:space="preserve"> atbalsta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Regulas Nr. 651/2014 6. panta 5. punkta h) apakšpunktā noteiktajam attiecībā uz Regulas Nr. 651/2014  53. pantu (ja ir izpildīti visi Regulas Nr. 651/2014  53. pantā noteiktie nosacījumi) neattiecas Regulas Nr. 651/2014 6. panta 2. punktā minētā stimulējošās ietekmes prasība, līdz ar to izmaksas var attiecināt arī pirms projekta iesniegšanas. Ņemot vērā iepriekš minēto, aicinām izvērtēt nepieciešamību iekļaut noteikumu projekta 34.3.2. apakšpunktā minēto, ka darbību, kas uzsāktas pirms projekta iesnieguma iesniegšanas, izmaksas attiecināmas de minimis atbalsta ietvaros. Vienlaikus vēršam uzmanību, ka, piemērojot Regulu Nr. 651/2014 vai īstenojot projektu, kas nekvalificējas jā komercdarbības atbalsts, EK lēmums nav nepieciešams. Lūdzam precizēt noteikumu projekta 34.punktu.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tomēr pasākuma ietvaros plānots piešķirt de minimis atbalstu, lai nodrošinātu, ka tiek ievēroti visi de minimis atbalsta regulējuma nosacījumi, noteikumu projekts ir papildināms ar Komisijas regulā Nr.2023/2831 noteiktajām de minimis atbalsta piešķiršanas prasībām, tostarp, paredzot, ka projekta iesniedzējs projekta iesniegumam ir pievienojis de minimis atbalsta uzskaites sistēmā sagatavoto veidlapu par sniedzamo informāciju de minimis atbalsta uzskaitei un piešķiršanai vai ir norādījis sistēmā izveidotās un apstiprinātās veidlapas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34.3.2. apakšpunkts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netiešās attiecināmās izmaksas plāno kā vienu izmaksu pozīciju, piemērojot netiešo izmaksu vienoto likmi 15 procentu apmērā no šo noteikumu 38.1. apakšpunktā minētajām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33. punkta redakciju, nodrošināt korektu atsauci uz MK noteikumu projekta punktu, kas ir minēts kā netiešo izmaksu vienotā likme 15 % apmērā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Projekta netiešās attiecināmās izmaksas plāno kā vienu izmaksu pozīciju, piemērojot netiešo izmaksu vienoto likmi 15 procentu apmērā no 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projekta vadības un īstenošanas personāla atlīdzības izmaksas, kas tieši saistītas ar projektu īstenošanu un mērķa sasniegšanu un radušās uz darba līguma vai uzņēmuma līguma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vadošās iestādes vadlīniju Nr. 1.2. "Vadlīnijas attiecināmo izmaksu noteikšanai 2021.-2027.gada plānošanas periodā" 7.3., 7.4. apakšpunktā, noteiktajam, lūdzam paredzēt nosacījumu, ka darbinieks vismaz 30% no normālā darba laika strādā ar projektu (attiecas uz daļlaika izmaksu attiecināšanas principu). Ja projektā tiek strādāts normālais vai nepilns darba laiks, tas nozīmē, ka 100% no darba laika tiek veltīts darbam ar projektu neatkarīgi no nepilna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netiešās attiecināmās izmaksas tiek rēķinātas no noteikumu projekta 36.1. apakšpunktā noteiktajām personāla izmaksām, lūdzam svītrot vārdus "vai uzņēmuma līguma (pakalpojuma līguma)", jo netiešās attiecināmās izmaksas nevar rēķināt no personāla atlīdzības, kas radusies uz uzņēmuma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svītrot vārdus 'tai skaitā valsts sociālās apdrošināšanas obligātās iemaksas no apliekamajām attiecināmajām izmaksām', jo tas ietilpst personāla izmaksās un atkārtoti to uzsvērt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projekta vadības un īstenošanas personāla izmaksas, kas tieši saistītas ar projektu īstenošanu un mērķa sasniegšanu un radušās uz darba līguma pamata. Ja personāla iesaiste projektā ir nodrošināta saskaņā ar daļlaika izmaksu attiecināmības principu, attiecināma ir ne mazāka kā 30 procentu noslodze. Ja personāls ir nodarbināts nepilnu darba laiku, izmaksas nosakāmas atbilstoši nepilnā darba laika noslodzei;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projekta vadības un īstenošanas personāla izmaksas, kas tieši saistītas ar projektu īstenošanu un mērķa sasniegšanu un radušās uz darba līguma pamata. Ja personāla iesaiste projektā ir nodrošināta saskaņā ar daļlaika izmaksu attiecināmības principu, attiecināma ir ne mazāka kā 30 procentu noslodze. Ja personāls ir nodarbināts nepilnu darba laiku, izmaksas nosakāmas atbilstoši nepilnā darba laika noslodzei;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projekta vadības un īstenošanas personāla izmaksas, kuras saskaņā ar Regulas Nr. 2021/1060 55. panta 1. punktu projekta iesniegumā plāno kā vienu izmaksu pozīciju, piemērojot izmaksu vienoto likmi 5 procentu apmērā no projekta tiešajām attiecināmajām izmaksām, bet neieskaitot tiešās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vadošā iestāde nevar saskaņot personāla izmaksu vienotās likmes 5 procentu apmērā iekļaušanu noteikumu projektā, līdz attiecīgais vienotās likmes apmērs nav saskaņots ar vadošo iestādi atbilstoši vadošās iestādes vadlīniju Nr. 1.1. “Vadlīnijas par vienkāršoto izmaksu izmantošanas iespējām un to piemērošana Eiropas Savienības kohēzijas politikas programmas 2021.–2027.gadam ietvaros” 55.punktā noteiktajam (AI, paredzot piemērot šo vienotās likmes veidu un apjomu SAM ietvaros, saskaņo šo pieeju ar VI MK noteikumu par SAM īstenošanu izstrādes procesā, bet konkrētā izmaksu vienotā likme, pēc saskaņošanas ar VI, tiek noteikta MK noteikumos par SAM īstenošanu. MK noteikumos nosaka attiecināmo izmaksu pozīcijas, no kurām tiek aprēķināta konkrētā vienotā likme). Ņemot vērā, ka likmes aprēķins nav iesniegts, lūdzam 5 procentu vienotās likmes aprēķinu nosūtīt uz elektroniskā pasta adresi sco@fm.gov.lv neformālai saskaņošanai, kā arī jautājumu vai konsultāciju nepieciešamības gadījumā, rakstiet uz iepriekš norādīto e-pasta adresi, lai iespējami operatīvi varētu saņemt vienotās likmes saskaņojumu. Vienlaikus lūdzam norādīt likmes apmēra pamatojumu anotācijā. Papildus, ņemot vērā, ka MK noteikumi paredz sadarbības partneru iesaisti, tad lūgums skaidrot, vai sadarbības partneriem tiks segtas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ka personāla izmaksām netiek piemērota vienotā 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projekta anotācija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izvērtējusi iespēju specifiskā atbalsta ietvaros piemērot vienkāršotās izmaksas un secinājusi, ka attiecībā uz personāla izmaksām vienkāršoto izmaksu vienotās likmes līdz 20 % no pārējām tiešajām attiecināmajām izmaksām piemērošana nav atbilstoša, jo specifiskā atbalsta ietvaros paredzēts nodrošināt kultūras pakalpojumu īstenošanas personāla izmaksas, paredzot starpdisciplināru sadarbību ar dažādu jomu ekspertiem (kultūras, veselības un sociālās jomas), lai reaģētu uz mērķauditorijas specifiskajām vajadzībām un precīzāk sasniegtu auditoriju, strādājot starpdisciplinārā komandā. Attiecīgi vienotās likmes līdz 20 % apmērā piemērošana ir nepietiekama šāda veida projekta īstenošanai, savukārt, personāla atlīdzības vienas vienības izmaksu standarta likmes piemērošana nav atbilstoša, jo pirms projektu iesniegumu iesniegšanas nav iespējams definēt visus starpdisciplinārās projekta īstenošanas personāla amatus un atalgojuma sliekšņus.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identificētas citas izmaksas, kuru vienkāršākai uzskaitei būtu lietderīgi izstrādāt tādu vienkāršoto izmaksu metodiku, kas neierobežos projektu mērķu un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specifiskā atbalsta ietvaros nav plānots piemērot citas vienkāršotās izmaksas. Ņemot vērā, ka kultūras mantojuma atjaunošanā un kultūras infrastruktūras būvniecībā netiek piemēroti standartizēti būvniecības risinājumi, papildus radot individuālu ēku dizainu un plānojumu, tai skaitā ievērojot Jaunā Eiropas Bauhaus principus, vienkāršoto izmaksu piemērošana specifiskā atbalsta ietvaros netiek piemērota.”.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projekta vadības un īstenošanas personāla izmaksas, kas tieši saistītas ar projektu īstenošanu un mērķa sasniegšanu un radušās uz darba līguma pamata. Ja personāla iesaiste projektā ir nodrošināta saskaņā ar daļlaika izmaksu attiecināmības principu, attiecināma ir ne mazāka kā 30 procentu noslodze. Ja personāls ir nodarbināts nepilnu darba laiku, izmaksas nosakāmas atbilstoši nepilnā darba laika noslodzei;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ekspertu izmaksas, kas tieši saistītas ar investīcijām infrastruktūrā, tai skaitā būvuzraudzības, autoruzraudzības un arheoloģiskās uzraudzības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Vadošās iestādes vadlīniju Nr.1.2. "Vadlīnijas attiecināmo izmaksu noteikšanai Eiropas Savienības kohēzijas politikas programmas 2021.-2027.gada plānošanas periodā" 10.2.apakšpunktā noteikts šādi: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paredzēt šo ierobežojumu noteikumu projekta 36.3. apakšpunktā noteiktajām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37.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Šo noteikumu 36.2. un 36.3. apakšpunktā noteiktās izmaksas kopā nepārsniedz 10 procentus no projekta kopējām attiecināmajām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ekspertu izmaksas, kas tieši saistītas ar investīcijām infrastruktūrā, tai skaitā būvuzraudzības, autoruzraudzības un arheoloģiskās uzraudzības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Šo noteikumu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minētās izmaksas ir attiecināmas, ja tās ir ieguldījumi materiālajos aktīvos, kā noteikts Regulas Nr. 651/2014 2. panta 29. punktā, vai nemateriālajos aktīvos, kā noteikts Regulas Nr. 651/2014 2. panta 30. punktā, un ir saistītas ar pamatlīdzekļa vērtību, izņemot šo noteikumu </w:t>
            </w:r>
            <w:r w:rsidR="00000000" w:rsidRPr="00000000" w:rsidDel="00000000">
              <w:rPr>
                <w:rtl w:val="0"/>
              </w:rPr>
              <w:t xml:space="preserve">36.8. </w:t>
            </w:r>
            <w:r w:rsidR="00000000" w:rsidRPr="00000000" w:rsidDel="00000000">
              <w:rPr>
                <w:rtl w:val="0"/>
              </w:rPr>
              <w:t xml:space="preserve">apakšpunktā</w:t>
            </w:r>
            <w:r w:rsidR="00000000" w:rsidRPr="00000000" w:rsidDel="00000000">
              <w:rPr>
                <w:rtl w:val="0"/>
              </w:rPr>
              <w:t xml:space="preserve"> minētās izmaksas, ja projekta iesniegumam sniegtais atbalsts ir uzskatāms par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pasākuma ietvaros piešķirtais atbalsts atbilst Regulas 651/2014 noteiktajām prasībām, lūdzam precizēt noteikumu 40.punktu, paredzot, ka ieguldījumi materiālajos vai nemateriālajos aktīvos veido pamatlīdzekļu vērtību, nevis ir tikai saistīti ar to. Par to, kādas izmaksas var būt ieguldījumu izmaksas (un kādas - darbības izmaksas), lūdzam skatīt Regulas 651/2014 53.panta 4.punktā (attiecīgi - 5.punktā).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minētās izmaksas ir attiecināmas, ja tās ir ieguldījumi materiālajos aktīvos, kā noteikts Regulas Nr. 651/2014 2. panta 29. punktā, vai nemateriālajos aktīvos, kā noteikts Regulas Nr. 651/2014 2. panta 30. punktā, un veido pamatlīdzekļa vērtību, izņemot šo noteikumu </w:t>
            </w:r>
            <w:r w:rsidR="00000000" w:rsidRPr="00000000" w:rsidDel="00000000">
              <w:rPr>
                <w:rtl w:val="0"/>
              </w:rPr>
              <w:t xml:space="preserve">36.8. </w:t>
            </w:r>
            <w:r w:rsidR="00000000" w:rsidRPr="00000000" w:rsidDel="00000000">
              <w:rPr>
                <w:rtl w:val="0"/>
              </w:rPr>
              <w:t xml:space="preserve">apakšpunktā</w:t>
            </w:r>
            <w:r w:rsidR="00000000" w:rsidRPr="00000000" w:rsidDel="00000000">
              <w:rPr>
                <w:rtl w:val="0"/>
              </w:rPr>
              <w:t xml:space="preserve"> minētās izmaksas, ja projekta iesniegumam sniegtais atbalsts ir uzskatāms par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41.punktā noteiktās darbību izmaksas ir pretrunā ar 46.punktā noteiktajām attiecināmajām darbību izmaksām. Lai noteikumu projektā būtu skaidras prasības par izmaksu attiecināšanu un atbilstību Komisijas regulas Nr. 651/2014 53. panta 3 punkta apakšpunktos noteiktajiem atbalsta veidiem un Komisijas regulas Nr. 651/2014 53. panta 4. vai 5. punktā noteiktajām izmaksām, lūdzam noteikumu projekta 41. punktu un apvienot ar 46.punktu un izvērtēt, vai atbalsta programmā noteiktais izmaksu sadalījums ir korekts, tai skaitā, vai noteikumu projekta 36.11. apakšpunktā un 39.punktā (atbilstoši noteikumu projekta 46.punktā noteiktajam) noteiktās izmaksas ir ieguldījumu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41. punkts apvienots ar 46. punktu, dzēšot 41. punktu un 46. 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37. un 39. punktā minētās izmaksas ir attiecināmas atbilstoši regulas Nr. 651/2014 53. panta 4. punktam kā ieguldījumu atbalsta izmaksas, ja tās ir ieguldījumi materiālajos aktīvos, kā noteikts regulas Nr. 651/2014 2. panta 29. punktā, vai nemateriālajos aktīvos, kā noteikts regulas Nr. 651/2014 2. panta 30. punktā, un veido pamatlīdzekļa vērtību, izņemot šo noteikumu 37.8., 37.9. un 37.10. un 37.11. apakšpunktā minētās izmaksas, kuras, atbilstoši regulas Nr. 651/2014 53. panta 5. punktam, ir attiecināmas kā darbības atbalsta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atbalsta programmā noteiktais izmaksu sadalījums atbilstoši regulas Nr. 651/2014 53.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Komercdarbības atbalstu šo noteikumu ietvaros sniedz saskaņā ar Regulas Nr. 651/2014 53.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10. un 18.2. apakšpunktā noteikto, kā arī noteikumu projekta 34. apakšpunktos iekļautās izmaksas (projekta vadības un īstenošanas personāla izmaksas un kultūras pakalpojuma izveides izmaksas, aprīkojuma iegādes un uzstādīšanas izmaksas, kā arī izmaksas horizontālā principa “vienlīdzība, iekļaušana, nediskriminācija un pamattiesību ievērošana” īstenošanai), nav saprotams, vai atbalsts pasākuma ietvaros plānots tikai ieguldījumiem, kas atbilst Komisijas regulas Nr.615/2014 53.panta 3a apakšpunktā noteiktajam vai arī darbībām, kas atbilst Komisijas regulas Nr.615/2014 53.panta 3b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plānots atbalsts ieguldījumiem un darbībām, lūdzam attiecīgi precizēt noteikumu projektu, nosakot, kuras projekta attiecināmās izmaksas atbilst Komisijas regulas Nr.615/2014 53.panta 3a apakšpunktā noteiktajam atbalsta veidam (ieguldījumu atbalsts) un kuras - Komisijas regulas Nr.615/2014 53.panta 3b apakšpunktā noteiktajam atbalsta veidam (darbības atbalsts). Attiecīgi arī lūdzam precizēt anotāciju, ietverot skaidrojumu par plānotajiem atbalsta veidiem un to atbilstību Komisijas regulas Nr.615/2014 53.panta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norādot, kuras projekta attiecināmās izmaksas atbilst Komisijas regulas Nr. 615/2014 53. panta 3. punkta a) apakšpunktā noteiktajam atbalsta veidam (ieguldījumu atbalsts) un kuras - Komisijas regulas Nr. 615/2014 53. panta 3. punka b) apakšpunktā noteiktajam atbalsta veidam (darbības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Komercdarbības atbalstu šo noteikumu ietvaros sniedz saskaņā ar regulas Nr. 651/2014 53. panta 3. punkta a) un b) apakšpunktā noteiktajiem atbalsta veidiem un 4. un 5. punktā minētajām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noteiktās izmaksas ir attiecināmas saskaņā ar Komisijas regulas Nr. 651/2014 2. panta 29. un 30. punktu un 53. panta 4. punktu kā ieguldījumu atbalsta izmaksas, izņemot šo noteikumu </w:t>
            </w:r>
            <w:r w:rsidR="00000000" w:rsidRPr="00000000" w:rsidDel="00000000">
              <w:rPr>
                <w:rtl w:val="0"/>
              </w:rPr>
              <w:t xml:space="preserve">36.1.</w:t>
            </w:r>
            <w:r w:rsidR="00000000" w:rsidRPr="00000000" w:rsidDel="00000000">
              <w:rPr>
                <w:rtl w:val="0"/>
              </w:rPr>
              <w:t xml:space="preserve">, </w:t>
            </w:r>
            <w:r w:rsidR="00000000" w:rsidRPr="00000000" w:rsidDel="00000000">
              <w:rPr>
                <w:rtl w:val="0"/>
              </w:rPr>
              <w:t xml:space="preserve">36.2.</w:t>
            </w:r>
            <w:r w:rsidR="00000000" w:rsidRPr="00000000" w:rsidDel="00000000">
              <w:rPr>
                <w:rtl w:val="0"/>
              </w:rPr>
              <w:t xml:space="preserve">, </w:t>
            </w:r>
            <w:r w:rsidR="00000000" w:rsidRPr="00000000" w:rsidDel="00000000">
              <w:rPr>
                <w:rtl w:val="0"/>
              </w:rPr>
              <w:t xml:space="preserve">36.8.</w:t>
            </w:r>
            <w:r w:rsidR="00000000" w:rsidRPr="00000000" w:rsidDel="00000000">
              <w:rPr>
                <w:rtl w:val="0"/>
              </w:rPr>
              <w:t xml:space="preserve">, </w:t>
            </w:r>
            <w:r w:rsidR="00000000" w:rsidRPr="00000000" w:rsidDel="00000000">
              <w:rPr>
                <w:rtl w:val="0"/>
              </w:rPr>
              <w:t xml:space="preserve">36.9.</w:t>
            </w:r>
            <w:r w:rsidR="00000000" w:rsidRPr="00000000" w:rsidDel="00000000">
              <w:rPr>
                <w:rtl w:val="0"/>
              </w:rPr>
              <w:t xml:space="preserve"> un </w:t>
            </w:r>
            <w:r w:rsidR="00000000" w:rsidRPr="00000000" w:rsidDel="00000000">
              <w:rPr>
                <w:rtl w:val="0"/>
              </w:rPr>
              <w:t xml:space="preserve">36.10. </w:t>
            </w:r>
            <w:r w:rsidR="00000000" w:rsidRPr="00000000" w:rsidDel="00000000">
              <w:rPr>
                <w:rtl w:val="0"/>
              </w:rPr>
              <w:t xml:space="preserve">apakšpunktā</w:t>
            </w:r>
            <w:r w:rsidR="00000000" w:rsidRPr="00000000" w:rsidDel="00000000">
              <w:rPr>
                <w:rtl w:val="0"/>
              </w:rPr>
              <w:t xml:space="preserve"> minētās izmaksas, kuras, atbilstoši Komisijas regulas Nr. 651/2014 53. panta 5. punktam, ir attiecināmas kā darbības atbalsta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izmaksas par ieguldījumiem materiālajos un nemateriālajos aktīvos atbilst Komisijas regulas Nr. 651/2014 53. panta 3a apakšpunktam (ieguldījumu atbalsts) tikai gadījumos, ja tās veido pamatlīdzekļu vērtību, lūdzam izvērtēt, vai noteikumu projekta 45.punktā noteiktas izmaksu sadalījums ir korekts. Vēršam uzmanību, ka 36.2.apakšpunktā uzskaitītās izmaksas, savukārt, visdrīzāk nav darbības atbalsts, jo attiecas uz ieguldījumu atbalstu. Par to, kādas izmaksas var būt ieguldījumu izmaksas (un kādas - darbības izmaksas), lūdzam skatīt Regulas 651/2014 53.panta 4.punktā (attiecīgi - 5.punktā).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minētās izmaksas ir attiecināmas atbilstoši regulas Nr. 651/2014 53. panta 4. punktam kā ieguldījumu atbalsta izmaksas, ja tās ir ieguldījumi materiālajos aktīvos, kā noteikts regulas Nr. 651/2014 2. panta 29. punktā, vai nemateriālajos aktīvos, kā noteikts regulas Nr. 651/2014 2. panta 30. punktā, un veido pamatlīdzekļa vērtību, izņemot šo noteikumu </w:t>
            </w:r>
            <w:r w:rsidR="00000000" w:rsidRPr="00000000" w:rsidDel="00000000">
              <w:rPr>
                <w:rtl w:val="0"/>
              </w:rPr>
              <w:t xml:space="preserve">37.8.</w:t>
            </w:r>
            <w:r w:rsidR="00000000" w:rsidRPr="00000000" w:rsidDel="00000000">
              <w:rPr>
                <w:rtl w:val="0"/>
              </w:rPr>
              <w:t xml:space="preserve">, </w:t>
            </w:r>
            <w:r w:rsidR="00000000" w:rsidRPr="00000000" w:rsidDel="00000000">
              <w:rPr>
                <w:rtl w:val="0"/>
              </w:rPr>
              <w:t xml:space="preserve">37.9.</w:t>
            </w:r>
            <w:r w:rsidR="00000000" w:rsidRPr="00000000" w:rsidDel="00000000">
              <w:rPr>
                <w:rtl w:val="0"/>
              </w:rPr>
              <w:t xml:space="preserve"> un </w:t>
            </w:r>
            <w:r w:rsidR="00000000" w:rsidRPr="00000000" w:rsidDel="00000000">
              <w:rPr>
                <w:rtl w:val="0"/>
              </w:rPr>
              <w:t xml:space="preserve">37.10.</w:t>
            </w:r>
            <w:r w:rsidR="00000000" w:rsidRPr="00000000" w:rsidDel="00000000">
              <w:rPr>
                <w:rtl w:val="0"/>
              </w:rPr>
              <w:t xml:space="preserve"> un </w:t>
            </w:r>
            <w:r w:rsidR="00000000" w:rsidRPr="00000000" w:rsidDel="00000000">
              <w:rPr>
                <w:rtl w:val="0"/>
              </w:rPr>
              <w:t xml:space="preserve">37.11. </w:t>
            </w:r>
            <w:r w:rsidR="00000000" w:rsidRPr="00000000" w:rsidDel="00000000">
              <w:rPr>
                <w:rtl w:val="0"/>
              </w:rPr>
              <w:t xml:space="preserve">apakšpunktā</w:t>
            </w:r>
            <w:r w:rsidR="00000000" w:rsidRPr="00000000" w:rsidDel="00000000">
              <w:rPr>
                <w:rtl w:val="0"/>
              </w:rPr>
              <w:t xml:space="preserve"> minētās izmaksas, kuras, atbilstoši regulas Nr. 651/2014 53. panta 5. punktam, ir attiecināmas kā darbības atbalsta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46.6. šo noteikumu </w:t>
            </w:r>
            <w:r w:rsidR="00000000" w:rsidRPr="00000000" w:rsidDel="00000000">
              <w:rPr>
                <w:rtl w:val="0"/>
              </w:rPr>
              <w:t xml:space="preserve">46.5. </w:t>
            </w:r>
            <w:r w:rsidR="00000000" w:rsidRPr="00000000" w:rsidDel="00000000">
              <w:rPr>
                <w:rtl w:val="0"/>
              </w:rPr>
              <w:t xml:space="preserve">apakšpunkta</w:t>
            </w:r>
            <w:r w:rsidR="00000000" w:rsidRPr="00000000" w:rsidDel="00000000">
              <w:rPr>
                <w:rtl w:val="0"/>
              </w:rPr>
              <w:t xml:space="preserve"> nosacījums neattiecas uz kultūras mantojuma izmaksām, kas noteiktas regulas Nr. 651/2014 53. panta 4. punkta c)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46.6.apakšpunktu, jo noteikumu projekta 46.5.apakšpunktā jau ir iekļauts pilnvērtīgs nosacījums par to, ka izmaksas par infrastruktūras izbūvi, modernizēšanu, iegādi, konservāciju vai uzlabošanu ir attiecināmas, ja vismaz 80 % no gada jaudas laika vai platības izteiksmē, izmanto Regulas Nr.651/2014 53.panta 2 a apakšpunktā noteiktajam kultūras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46.6.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Ja ir pārkāptas regulas Nr. 651/2014 prasības vai ir konstatēts, ka projekts tā ieviešanas gaitā vai projekta pārskata periodā neatbilst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minētajiem gadījumiem un tam nav iespējams piemērot regulas Nr. 651/2014 53. panta nosacījumus vai tiek veikta saimnieciskā darbība, kas nav uzskatāma par papildpakalpojumu, atbalsta saņēmējam ir pienākums atmaksāt sadarbības iestādei saņemto nelikumīgo komercdarbības atbalstu kopā ar procentiem no līdzekļiem, kas ir brīvi no valsts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projektā 52. punktā iekļauto atsauci uz noteikumu projekta 39. punktu, jo gadījumi, kad atbalsts nav uzskatāms par komercdarbības atbalstu, ir noteikti noteikumu projekta 40. punktā, turklāt amortizācijas periodā jānodrošina ir atbilstība tikai 40.1. apakšpunktam, ja tajā minētais izmantots kā komercdarbības atbalstu izslēdzošais kritērijs pie projekta vērtēšanas, nevis 40.2. apakšpunkts, uz ko neattiecas uzraudzība amortizācijas periodā. Papildus vienotas terminoloģijas piemērošanas nolūkos lūdzam vārda vietā “valsts” lietot vārdu “komercdarbības”.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pārkāptas regulas Nr. 651/2014 prasības vai ir konstatēts, ka projekts tā ieviešanas gaitā vai projekta pārskata periodā neatbilst šo noteikumu 40.1. apakšpunktā minētajiem gadījumiem vai tiek veikta saimnieciskā darbība, kas nav uzskatāma par papildpakalpojumu, un tam nav iespējams piemērot regulas Nr. 651/2014 53. panta nosacījumus, atbalsta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ikgadējā uzraudzība attiecas tikai uz Noteikumu projekta 43.1. apakšpunktā minētajiem gadījumiem. Papildus Noteikumu projekta 56. punkts precizēts vienotas terminoloģijas piemērošanas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ir pārkāptas regulas Nr. 651/2014 prasības vai ir konstatēts, ka projekts tā ieviešanas gaitā vai projekta pārskata periodā neatbilst šo noteikumu </w:t>
            </w:r>
            <w:r w:rsidR="00000000" w:rsidRPr="00000000" w:rsidDel="00000000">
              <w:rPr>
                <w:rtl w:val="0"/>
              </w:rPr>
              <w:t xml:space="preserve">44.1. </w:t>
            </w:r>
            <w:r w:rsidR="00000000" w:rsidRPr="00000000" w:rsidDel="00000000">
              <w:rPr>
                <w:rtl w:val="0"/>
              </w:rPr>
              <w:t xml:space="preserve">apakšpunktā</w:t>
            </w:r>
            <w:r w:rsidR="00000000" w:rsidRPr="00000000" w:rsidDel="00000000">
              <w:rPr>
                <w:rtl w:val="0"/>
              </w:rPr>
              <w:t xml:space="preserve"> minētajiem gadījumiem vai tiek veikta saimnieciskā darbība, kas nav uzskatāma par papildpakalpojumu, un tam nav iespējams piemērot Regulas Nr. 651/2014 53. panta nosacījumus, atbalsta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ir pārkāptas regulas Nr. 651/2014 prasības vai ir konstatēts, ka projekts tā ieviešanas gaitā vai projekta pārskata periodā neatbilst šo noteikumu </w:t>
            </w:r>
            <w:r w:rsidR="00000000" w:rsidRPr="00000000" w:rsidDel="00000000">
              <w:rPr>
                <w:rtl w:val="0"/>
              </w:rPr>
              <w:t xml:space="preserve">43.1. </w:t>
            </w:r>
            <w:r w:rsidR="00000000" w:rsidRPr="00000000" w:rsidDel="00000000">
              <w:rPr>
                <w:rtl w:val="0"/>
              </w:rPr>
              <w:t xml:space="preserve">apakšpunktā</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minētajiem gadījumiem vai tiek veikta saimnieciskā darbība, kas nav uzskatāma par papildpakalpojumu, un tam nav iespējams piemērot Regulas Nr. 651/2014 53. panta nosacījumus, atbalsta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56.punktā iekļauto atsauci, svītrojot skaitļus "42.".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ir pārkāptas regulas Nr. 651/2014 prasības vai ir konstatēts, ka projekts tā ieviešanas gaitā vai projekta pārskata periodā neatbilst šo noteikumu </w:t>
            </w:r>
            <w:r w:rsidR="00000000" w:rsidRPr="00000000" w:rsidDel="00000000">
              <w:rPr>
                <w:rtl w:val="0"/>
              </w:rPr>
              <w:t xml:space="preserve">44.1. </w:t>
            </w:r>
            <w:r w:rsidR="00000000" w:rsidRPr="00000000" w:rsidDel="00000000">
              <w:rPr>
                <w:rtl w:val="0"/>
              </w:rPr>
              <w:t xml:space="preserve">apakšpunktā</w:t>
            </w:r>
            <w:r w:rsidR="00000000" w:rsidRPr="00000000" w:rsidDel="00000000">
              <w:rPr>
                <w:rtl w:val="0"/>
              </w:rPr>
              <w:t xml:space="preserve"> minētajiem gadījumiem vai tiek veikta saimnieciskā darbība, kas nav uzskatāma par papildpakalpojumu, un tam nav iespējams piemērot Regulas Nr. 651/2014 53. panta nosacījumus, atbalsta saņēmējam ir pienākums atmaksāt sadarbības iestādei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(Rīgas metropole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MKN projekta anotācijā ir norādīts, ka </w:t>
            </w:r>
            <w:r w:rsidR="00000000" w:rsidRPr="00000000" w:rsidDel="00000000">
              <w:rPr>
                <w:u w:val="single"/>
                <w:rtl w:val="0"/>
              </w:rPr>
              <w:t xml:space="preserve">ir pieļaujama situācija, ka par projekta būvniecības darbībām projektu iesniegumu iesniegšanas brīdī ir noslēgts būvdarbu līgums vai uzsākti būvdarbi</w:t>
            </w:r>
            <w:r w:rsidR="00000000" w:rsidRPr="00000000" w:rsidDel="00000000">
              <w:rPr>
                <w:rtl w:val="0"/>
              </w:rPr>
              <w:t xml:space="preserve">, lūgums skaidrot, kādai jābūt projekta iesniegumā plānoto darbību, kas ietver būvdarbus, gatavības pakāpei tā iesniegšanas brīdī, kā arī vai gatavības pakāpe tiks iekļauta vērtēšanas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atbalsts tiks īstenots atklātas projektu iesniegumu atlases veidā, līgumu noslēgšana pirms noslēgta vienošanās par projekta īstenošanu var radīt finanšu riskus projekta iesniedzēja budžetam.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visām paredzētajām būvniecības darbībām sagatavots projektēšanas uzdevums par būvniecības ieceres dokumentu sagatavošanu vai iesniegta būvvaldes izziņa, kas apliecina, ka iepriekš minētie dokumenti nav nepieciešami, un iesniegta indikatīva būvdarbu izmaksu aplēse (tāme).”.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specifiskā atbalsta ietvaros projekta iesnieguma vērtēšanas kritēriji neparedz vērtēt projekta ietvaros paredzēto būvniecības darbību gatavības stadiju.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“Tiesību akta projekta ietekme uz valsts budžetu un pašvaldību budžetiem” 6.punktā “Detalizēts ieņēmumu un izdevumu aprēķins (ja nepieciešams, detalizētu ieņēmumu un izdevumu aprēķinu var pievienot anotācijas (ex-ante) pielikumā)” otrajā un trešajā rindkopā ir iekļauta informācija, ka specifiskā atbalsta ietvaros ir plānota atklāta projektu iesniegumu atlase, tādējādi nacionālā finansējuma sadalījums starp valsts budžeta līdzfinansējumu, pašvaldību līdzfinansējumu un privāto līdzfinansējumu ir indikatīvs, vienlaikus norādot valsts budžeta līdzfinansējumu 300 000 </w:t>
            </w:r>
            <w:r w:rsidR="00000000" w:rsidRPr="00000000" w:rsidDel="00000000">
              <w:rPr>
                <w:i w:val="1"/>
                <w:rtl w:val="0"/>
              </w:rPr>
              <w:t xml:space="preserve">euro</w:t>
            </w:r>
            <w:r w:rsidR="00000000" w:rsidRPr="00000000" w:rsidDel="00000000">
              <w:rPr>
                <w:rtl w:val="0"/>
              </w:rPr>
              <w:t xml:space="preserve"> apmērā un pašvaldību līdzfinansējumu 1 938 321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pamatojuma valsts budžeta līdzekļu plānošanai līdzfinansējuma nodrošināšanai finansējuma saņēmējiem, kas nav budžeta iestādes vai atvasinātas publiskas personas - augstskolas vai zinātniskie institūti. Tādējādi anotācijā ir precizējama informācija, ka valsts budžeta līdzfinansējums tiek piešķirts valsts budžeta iestādēm vai atvasinātām publiskām personām 2018.gada 17.jūlija Ministru kabineta noteikumos Nr.421 “Kārtība, kādā veic gadskārtējā valsts budžeta likumā noteiktās apropriācijas izmaiņas” noteiktajos gadījumos, savukārt pārējiem finansējuma saņēmējiem līdzfinansējums projektu īstenošanai ir nodrošināms to esošo budžetu līdzekļu ietvaros, vienlaikus precizējot informāciju 3., 5., 7. un 8.kolonnas 3.1., 3.3., 5.1. un 5.3.apakšpunktā.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anotācijas 3. sadaļa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4.3.2. specifiskā atbalsta mērķa “Kultūras un tūrisma lomas palielināšana ekonomiskajā attīstībā, sociālajā iekļaušanā un sociālajās inovācijās”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un aicinām ņemt vērā, ka Ministru kabineta kārtības ruļļa  52.1.3.1 punkts nosaka, ka atbildīgajai ministrijai, kura sagatavo noteikumu, ir nepieciešams saņemt saskaņojumu no Labklājības ministrijas, ja noteikumu projekts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52.1.3.11. par Eiropas Savienības fondu plānošanas dokumentu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52.1.3.12. par ārējo tiesību aktu projektu īstenošanu Eiropas Savienības fondu jomā, kas skar horizontālo principu "Vienlīdzība, iekļaušana, nediskriminācija un pamattiesību ievērošana", īstenojot pasākumus Eiropas Reģionālās attīstības fonda, Eiropas Sociālā fonda Plus, Kohēzijas fonda, Taisnīgas pārkārtošanās fonda, Patvēruma, migrācijas un integrācijas fonda, Iekšējās drošības fonda un Finansiāla atbalsta instrumenta robežu pārvaldībai un vīzu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4.3.2. specifiskā atbalsta mērķa “Kultūras un tūrisma lomas palielināšana ekonomiskajā attīstībā, sociālajā iekļaušanā un sociālajās inovācijās”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4.3.2. specifiskā atbalsta mērķa “Kultūras un tūrisma lomas palielināšana ekonomiskajā attīstībā, sociālajā iekļaušanā un sociālajās inovācijās”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ņemot vērā laika periodu, kas nepieciešams projektu iesniegumu atlases izsludināšanai, projektu iesniegumu sagatavošanai, vērtēšanai un līguma noslēgšanai, lūdzu sniegt informāciju par plānoto atlases izsludināšanas laiku un projekta iesniegumu sagatavošanas termiņu, ievērojot MKN projekta 27.punktu, kas nosaka, ka uz projekta iesniegšanas brīdi nepieciešams saņemt Kultūras ministrijas atzinumu par sadarbības partnera darbības stratēģijas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vai viena projekta ietvaros var veikt projekta atbalstāmās darbības vairākos kultūras un tūrisma objektos. Tāpat, vai viena projekta ietvaros var veikt kombinētus darbības, t.i., īstenojot gan būvdarbus, gan citas atbalstāmas darbības kultūras pakalpojumu pieejamības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specifiskā atbalsta indikatīvais atklātas projektu iesniegumu atlases uzsākšanas laiks ir 2024. gada IV ceturksnis.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specifiskajam atbilstības kritērijam 3.4. paredzēts vērtēt, vai projektā plānotie infrastruktūras attīstības darbi ir nepieciešami, lai īstenotu organizācijas darbības stratēģijā plānotos pakalpojumus. Attiecīgi skaidrojam, ka infrastruktūras attīstības darbi ir atbalstāmi tiktāl tas ir nepieciešams pakalpojuma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Noteikumu projektā svītrota prasība par Kultūras ministrijas atzinumu par darbības stratēģiju.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4.3.2. specifiskā atbalsta mērķa “Kultūras un tūrisma lomas palielināšana ekonomiskajā attīstībā, sociālajā iekļaušanā un sociālajās inovācijās”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4.3.2. specifiskā atbalsta mērķa “Kultūras un tūrisma lomas palielināšana ekonomiskajā attīstībā, sociālajā iekļaušanā un sociālajās inovācijās”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pašvaldības gadījumā ir jāpiesaista sadarbības partneris, kura pamatdarbība ir kultūras vai radošajā nozarē, lūdzam MKN projekta anotācijā papildināt detalizētāku informāciju, kādas prasības obligāti jāiekļauj sadarbības līgumā par projekta īstenošanu, kā arī finansēšanas mehānismu finansējuma saņēmējam ar sadarbības partneri un/vai sadarbības partneris ir iekļaujams projekta vadības darba grupā, ja, ievērojot MKN projekta 17. un 18. punktā noteikto, var mainīties atbalsta likmes intensitāte, ņemot vērā sadarbības partnera pamatdarbību, ievērojot Eiropas Komisijas 2014. gada 17. jūnija Regulas (ES) Nr. 651/2014 nosacījumu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tiks izstrādāta sadarbības līguma forma, kas noteiks minimālās prasības, kas jāiekļauj sadarbības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4.3.2. specifiskā atbalsta mērķa “Kultūras un tūrisma lomas palielināšana ekonomiskajā attīstībā, sociālajā iekļaušanā un sociālajās inovācijās”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4.3.2. specifiskā atbalsta mērķa “Kultūras un tūrisma lomas palielināšana ekonomiskajā attīstībā, sociālajā iekļaušanā un sociālajās inovācijās”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paredzēts atbalsts kultūras infrastruktūrai (t.i., kultūras objektiem), noteikumu projektā vai anotācijā ir jābūt  ietvertiem nosacījumiem vai sniegtam skaidrojumam, ka pēc ES fondu ieguldījumu veikšanas attiecīgais objekts nodrošinās pašpietiekamību un būs spējīgs nodrošināt funkcionēšanu bez papildu publiskā atbalsta saņemšanas, t.sk. nodrošināt tā darbību atbilstoši noteiktajām funkcijām, nodrošināt atbilstošu infrastruktūras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specifiskā atbalsta ieguldījumu veikšanas attiecīgais objekts nodrošinās ilgtspējību, demonstrējot projekta iesniedzēja spēju nodrošināt objekta uzturēšana pēc projekta īstenošanas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4.3.2. specifiskā atbalsta mērķa “Kultūras un tūrisma lomas palielināšana ekonomiskajā attīstībā, sociālajā iekļaušanā un sociālajās inovācijās”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Pasākumā piemērota teritoriālā pieeja, veicot ieguldījumus pilsētu funkcionālajās teritorijās, kas noteiktas plānošanas reģionu attīstības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pieeju, lūdzam MKN projektā sniegt papildu informāciju par MKN projekta 4. punktā noteikto, proti, vai projekta iesniedzējam, neatkarīgi no tā juridiskā statusa, iesniedzot projekta iesniegumu, ir jāpamato, ka projekta īstenošanas teritorija atbilst plānošanas reģiona attīstības programmās noteiktajam un kā tiks gūta pārliecība par pasākuma ieguldījuma atbilstību, nodrošinot teritoriālo pieeju.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šobrīd plānota saruna ar Viedās administrācijas un reģionālās attīstības ministriju, lai saskaņotu un precizētu veidu, kā tiks īstenota teritoriālā pieeja.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funkcionālās teritorijas noteiktas plānošanas reģiona attīstības programmās, meklēsim risinājumu, lai projekta iesniedzējam tas nav jāpamato, bet gan vērtēšanas komisija pati var par to pārliecināties.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Specifiskā atbalsta īstenošanu nodrošina Kultūras ministrija (turpmāk – atbildīgā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projekta 5.punkta redakciju, lai neveidotos interpretācijas problēmas par tiesību normas izpratni attiecībā uz projekta īstenotāju.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5.Specifiskā atbalsta ietvaros atbildīgās iestādes funkcijas pilda Kultūras ministrija (turpmāk -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Specifiskā atbalsta ietvaros atbildīgās iestādes funkcijas pilda Kultūras ministrija (turpmāk – atbildīgā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līdz 2024. gada 31. decembrim iznākuma rādītājs: noslēgto līgumu par projektu īstenošanu īpatsvars par ieguldījumiem kultūras un tūrisma objektos – 10 procenti;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noteikumi par 4.3.2. specifiskā atbalsta mērķa nosacījumiem vēl nav apstiprināti – iznākuma rādītājs nevar tikt sasniegts norādītāja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rādītājs ir noteikts atbilstoši aktuālajai Eiropas Savienības kohēzijas politikas programmai 2021.-2027. gadam. Secīgi pēc grozījumiem programmā tiks veikti grozījumi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līdz 2024. gada 31. decembrim iznākuma rādītājs: noslēgto līgumu par projektu īstenošanu īpatsvars par ieguldījumiem kultūras un tūrisma objektos – 10 procenti;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līdz 2024. gada 31. decembrim iznākuma rādītājs: noslēgto līgumu par projektu īstenošanu īpatsvars par ieguldījumiem kultūras un tūrisma objektos – 10 procenti;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skaidrus un saprotamus noteikumus, lūdzam papildināt MK noteikumu projekta 10.1 apakšpunktu vai MK noteikumu projekta anotācijā detalizētāk skaidrot piemērotā rādītāja noteikšana, t.i., 10 procentu apmērā vērtība noslēgto līgumu īpatsvara, proti, sniedzot informāciju, kā tiks noteikts šis īpatsvars.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rādītājs paredz, ka līdz 2024. gada 31. decembrim būs noslēgti līgumi par projektu īstenošanu vismaz par 10 % no specifiskajam atbalstam pieejamā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līdz 2024. gada 31. decembrim iznākuma rādītājs: noslēgto līgumu par projektu īstenošanu īpatsvars par ieguldījumiem kultūras un tūrisma objektos – 10 procenti;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iesnieguma minimālais kopējo attiecināmo izmaksu apmērs nav mazāks par 200 000 </w:t>
            </w:r>
            <w:r w:rsidR="00000000" w:rsidRPr="00000000" w:rsidDel="00000000">
              <w:rPr>
                <w:i w:val="1"/>
                <w:rtl w:val="0"/>
              </w:rPr>
              <w:t xml:space="preserve">euro </w:t>
            </w:r>
            <w:r w:rsidR="00000000" w:rsidRPr="00000000" w:rsidDel="00000000">
              <w:rPr>
                <w:rtl w:val="0"/>
              </w:rPr>
              <w:t xml:space="preserve">(ieskaitot), un projekta iesnieguma maksimālais kopējais attiecināmais finansējums ir 1 000 000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savstarpēji papildinošu un finansiāli ietilpīgu atbalstāmo darbību iekļaušanu projekta iesniegumā, lūdzam precizēt MK noteikuma projekta 14. punktu, nosakot, kāds ir projekta maksimālais ERAF finansējums nevis kopējais attiecināmais finansējums, pieļaujot iespēju palielināt nacionālā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iesnieguma minimālais Eiropas Reģionālās attīstības fonda finansējuma apmērs nav mazāks par 170 000 </w:t>
            </w:r>
            <w:r w:rsidR="00000000" w:rsidRPr="00000000" w:rsidDel="00000000">
              <w:rPr>
                <w:i w:val="1"/>
                <w:rtl w:val="0"/>
              </w:rPr>
              <w:t xml:space="preserve">euro </w:t>
            </w:r>
            <w:r w:rsidR="00000000" w:rsidRPr="00000000" w:rsidDel="00000000">
              <w:rPr>
                <w:rtl w:val="0"/>
              </w:rPr>
              <w:t xml:space="preserve">(ieskaitot), un projekta iesnieguma maksimālais Eiropas Reģionālās attīstības fonda finansējuma apmērs ir 850 000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Eiropas Reģionālās attīstības fonda maksimālā finansējuma likme nepārsniedz 85 procentus no projekta kopējām attiecināmajām izmaksām. Valsts budžeta līdzfinansējums valsts iestādēm, valsts kapitālsabiedrībām un atvasinātām publiskām personām (augstskolām un zinātniskajiem institūtiem) ir 15 procenti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 punkta redakciju ar nosacījumu, kādos gadījumos ir pieļaujama valsts budžeta līdzfinansējuma nodrošināšana valsts kapitālsabiedrībām. Atzīmējam, ka anotācijas 1.3. apakšsadaļas “Pašreizējā situācija, problēmas un risinājumi” 8.lpp. ir ietverta informācija, ka valsts kapitālsabiedrībai valsts budžeta līdzfinansējums paredzams par valsts pārvaldes deleģēto uzdevumu izpildi – par valsts nekustamā īpašuma pārvaldību un valsts nekustamā īpašuma attīstības vadību vai deleģēto valsts pārvaldes uzdevumu kultūras jomā veikšanu atbilstoši līgumiem, kas noslēgti ar Kultūras ministriju par valsts pārvaldes uzdevumu deleģēšanu kultūras jomā un to finansēšanu. Attiecīgi šie nosacījumi ir iekļaujami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Eiropas Reģionālās attīstības fonda maksimālā finansējuma likme nepārsniedz 85 procentus no projekta kopējām attiecināmajām izmaksām. Valsts budžeta līdzfinansējums valsts iestādēm, valsts kapitālsabiedrībām un atvasinātām publiskām personām (augstskolām un zinātniskajiem institūtiem) ir 15 procenti no projekta kopējām attiecināmajām izmaksām. Valsts kapitālsabiedrībai valsts budžeta līdzfinansējums ir pieļaujams par valsts pārvaldes deleģēto uzdevumu izpildi – par valsts nekustamā īpašuma pārvaldību un valsts nekustamā īpašuma attīstības vadību vai deleģēto valsts pārvaldes uzdevumu kultūras jomā veikšanu atbilstoši līgumiem, kas noslēgti ar Kultūras ministriju par valsts pārvaldes uzdevumu deleģēšanu kultūras jomā un to finansēšanu.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Eiropas Reģionālās attīstības fonda maksimālā finansējuma likme nepārsniedz 85 procentus no projekta kopējām attiecināmajām izmaksām, ja atbalsta sniegšana specifiskā atbalsta ietvaros tam nav kvalificējama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15.punktā piebildi "ja atbalsta sniegšana specifiskā atbalsta ietvaros tam nav kvalificējama kā komercdarbības atbalsts.", ņemot vērā Kultūras ministrijas sniegto skaidrojumu izziņas 5.punktā, kur norādīts, ka atbilstoši Regulas 2021/1060 112. pantam Eiropas Reģionālās attīstības fonda maksimālā finansējuma likme nepārsniedz 85 procentus no projekta kopējām attiecināmajām izmaksām, neatkarīgi ir vai nav komercdarbības atbalsts. Komercdarbības atbalsta esamība ietekmē tikai 15% nacionālā līdzfinansējuma sadalījumu pa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Eiropas Reģionālās attīstības fonda maksimālā finansējuma likme nepārsniedz 85 procentus no projekta kopējām attiecināmajām izmaksām. Valsts budžeta līdzfinansējums valsts iestādēm, valsts kapitālsabiedrībām un atvasinātām publiskām personām (augstskolām un zinātniskajiem institūtiem) ir 15 procenti no projekta kopējām attiecināmajām izmaksām. Valsts kapitālsabiedrībai valsts budžeta līdzfinansējums ir pieļaujams par valsts pārvaldes deleģēto uzdevumu izpildi – par valsts nekustamā īpašuma pārvaldību un valsts nekustamā īpašuma attīstības vadību vai deleģēto valsts pārvaldes uzdevumu kultūras jomā veikšanu atbilstoši līgumiem, kas noslēgti ar Kultūras ministriju par valsts pārvaldes uzdevumu deleģēšanu kultūras jomā un to finansēšanu.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Specifiskā atbalsta ietvaros tiek piemērota teritoriālā pieeja, paredzot, ka katrā plānošanas reģionā tiek atbalstīts vismaz viens projekta iesniegums, kas atbilst specifiskā atbalsta īstenošanas nosacījumiem. Projekta iesnieguma īstenošanas reģions tiek noteikts atbilstoši infrastruktūras, kurā tiek veikti ieguldījumi, faktiskajai adresei. Projekta iesniegumu ranžēšanas nosacījumi tiek noteikti specifiskā atbalsta projekta iesniegumu atlases nolikumā.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Anotācijā ir minēts, ka “Specifiskā atbalsta ietvaros tiek atbalstīti Kultūras ministrijas kā par kultūras jomas politiku atbildīgās nozares ministrijas saskaņotie plānošanas reģionu attīstības programmās paredzētie pasākuma projekti, kurus īsteno pilsētu funkcionālajās teritorijās.” Ņemot vērā, ka plānošanas reģionu attīstības programmas ir apstiprinātas pirms MK noteikumu projekta izstrādes, pastāv iespējamība, ka konkrēti pašvaldību projekti nav iekļauti plānošanas reģionu attīstības programmās, kurus plānots īstenot pilsētu funkcionālajās teritorijās. Kultūras ministrijai būtu nepieciešams apzināt situāciju plānošanas reģionu attīstības programmu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8.1.5. sadaļa “uz teritoriju attīstību”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ietvaros tiek piemērota teritoriālā pieeja, paredzot, ka katrā plānošanas reģionā tiek atbalstīts vismaz viens projekta iesniegums, kas atbilst specifiskā atbalsta īstenošanas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Specifiskā atbalsta ietvaros tiek piemērota teritoriālā pieeja, paredzot, ka katrā plānošanas reģionā tiek atbalstīts vismaz viens projekta iesniegums, kas atbilst specifiskā atbalsta īstenošanas nosacījumiem. Projekta iesnieguma īstenošanas reģions tiek noteikts atbilstoši infrastruktūras, kurā tiek veikti ieguldījumi, faktiskajai adresei. Projekta iesniegumu ranžēšanas nosacījumi tiek noteikti specifiskā atbalsta projekta iesniegumu atlases nolikumā.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Projektam, kam atbalsta sniegšana specifiskā atbalsta mērķa ietvaros ir kvalificējama kā komercdarbības atbalsts, atbalsta summa, kas ietver Eiropas Reģionālās attīstības fonda finansējumu un citu publisko finansējumu, atbilstoši Komisijas 2014. gada 17. jūnija Regulas (ES) Nr. 651/2014, ar ko noteiktas atbalsta kategorijas atzīst par saderīgām ar iekšējo tirgu, piemērojot Līguma 107. un 108. pantu (turpmāk – Regula Nr. 651/2014), 53. panta 6. punktam nepārsniedz starpību starp šo noteikumu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norādītajām tiešajām attiecināmajām izmaksām un pamatdarbības peļņu no ieguldījuma. Pamatdarbības peļņu atskaita no tiešajām attiecināmajām izmaksām iepriekš saskaņā ar pamatotām prognozēm vai izmanto atgūšanas mehānismu. Finansējuma saņēmējam, kas ekspluatē ēku, kurā īstenotas projekta aktivitātes, ir ļauts projekta pārskata periodā paturēt samērīgu peļņu. Šo noteikumu ietvaros pamatdarbības peļņas definīcija atbilst Regulas Nr. 651/2014 2. panta 39.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termins "samērīga peļņa" skaidrots noteikumu projekta 53. punktā, bet pirmo reizi tas lietots noteikumu projekta 16. punktā. Attiecīgi noteikumu projektā nav ievērots Ministru kabineta 2009.gada 3.februāra noteikumu Nr.108 "Normatīvo aktu projektu sagatavošanas noteikumi" 122. punkts, kas noteic, ka terminus skaidro loģiskā secībā. Ņemot vērā minēto, lūdzam termina "samērīga peļņa" skaidrojumu iekļaut noteikumu projekta 16. punktā, kā arī veikt attiecīgus labojumus noteikumu projekta 53.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kam atbalsta sniegšana specifiskā atbalsta mērķa ietvaros ir kvalificējama kā komercdarbības atbalsts, atbalsta summa, kas ietver Eiropas Reģionālās attīstības fonda finansējumu un citu publisko finansējumu, atbilstoši Komisijas 2014. gada 17. jūnija Regulas (ES) Nr. 651/2014, ar ko noteiktas atbalsta kategorijas atzīst par saderīgām ar iekšējo tirgu, piemērojot Līguma 107. un 108. pantu (turpmāk – Regula Nr. 651/2014), 53. panta 6. punktam nepārsniedz starpību starp šo noteikumu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norādītajām tiešajām attiecināmajām izmaksām un pamatdarbības peļņu no ieguldījuma. Pamatdarbības peļņu atskaita no tiešajām attiecināmajām izmaksām iepriekš saskaņā ar pamatotām prognozēm vai izmanto atgūšanas mehānismu. Finansējuma saņēmējam, kas ekspluatē ēku, kurā īstenotas projekta aktivitātes, ir ļauts projekta pārskata periodā paturēt samērīgu peļņu. Šo noteikumu ietvaros samērīgas peļņas definīcija atbilst Regulas Nr. 651/2014 2. panta 142. punktam un pamatdarbības peļņas definīcija atbilst Regulas Nr. 651/2014 2. panta 39.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Projektam, kam atbalsta sniegšana specifiskā atbalsta mērķa ietvaros ir kvalificējama kā komercdarbības atbalsts, atbalsta summa, kas ietver Eiropas Reģionālās attīstības fonda finansējumu un citu publisko finansējumu, atbilstoši Komisijas 2014. gada 17. jūnija Regulas (ES) Nr. 651/2014, ar ko noteiktas atbalsta kategorijas atzīst par saderīgām ar iekšējo tirgu, piemērojot Līguma 107. un 108. pantu (turpmāk – regula Nr. 651/2014), 53. panta 6. punktam nepārsniedz starpību starp šo noteikumu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norādītajām tiešajām attiecināmajām izmaksām un pamatdarbības peļņu no ieguldījuma. Pamatdarbības peļņu atskaita no tiešajām attiecināmajām izmaksām iepriekš saskaņā ar pamatotām prognozēm vai izmanto atgūšanas mehānismu. Finansējuma saņēmējam, kas ekspluatē ēku, kurā īstenotas projekta aktivitātes, ir ļauts projekta pārskata periodā paturēt samērīgu peļņu. Šo noteikumu ietvaros samērīgas peļņas definīcija atbilst regulas Nr. 651/2014 2. panta 142. punktam un pamatdarbības peļņas definīcija atbilst regulas Nr. 651/2014 2. panta 39.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iesniedzējam un sadarbības partnerim projekta ietvaros pieejamo publiskā finansējuma apmēru nosaka,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21.punkts nosaka, ka finansējumu piešķir projekta iesniedzējam – biedrībai, nodibinājumam un citai juridiskai personai, kuras pamatdarbība ir kultūras vai radošajā nozarē, valsts iestādei, pašvaldībai, pašvaldības iestādei vai valsts un pašvaldības kapitālsabiedrībai. Noteikumu projekta 17.2.apakšpunkts rada interpretācijas problēmas, jo izdala pašvaldību un tās izveidotu iestādi, kaut gan noteikumu projekts paredz arī citus projekta iesniedzēju veidus. Tādējādi lūdzam precizēt noteikumu projekta 17.punktā ietvertos apakšpunktus ar skaidru regulējumu, kas noteiktu, kādi nosacījumi iestājas, ja atbalsta sniegšanas kvalificējas vai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17.2. apakšpunkts izteiks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valsts iestādei, valsts un pašvaldības kapitālsabiedrībai, pašvaldībai vai tās izveidotai iestādei, ja projektam atbalsta sniegšana specifiskā atbalsta ietvaros kvalificējama kā komercdarbības atbalsts, publiskais finansējums nepārsniedz šo noteikumu 16. punktā minētā aprēķina finanšu iztrūkumu.”.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iesniedzējam un sadarbības partnerim projekta ietvaros pieejamo publiskā finansējuma apmēru nosaka,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Specifiskā atbalsta ietvaros projekta iesniedzējs var iesniegt vienu projekta iesniegumu. Ar projekta iesniedzēju, kas iesniedzis projekta iesniegumu specifiskā atbalsta ietvaros, vienlaikus nevar slēgt sadarbības līgumu kā ar sadarbības partneri cita projekta iesnieguma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pieeju, lūdzam sniegt skaidrojumu, vai viena projekta iesniegumā var tikt iekļautas vairākas projekta īstenošanas vietas, tajā skaitā arī veiktas vairākas atbalstāmās darbības, piemēram, kultūras pakalpojumu pielāgošana sociāli mazaizsargātam iedzīvotāju grupām, kultūras infrastruktūras attīstīšana un aprīkojuma noma un iegāde kultūras piedāvājuma izveides nolūkos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projekta iesnieguma ietvaros var tikt iekļautas vairākas projekta īstenošanas vietas, tajā skaitā arī veiktas vairākas atbalstāmās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kultūras pakalpojuma radīšana ir obligāts projekta īstenošanas nosacījums, kamēr infrastruktūras attīstības darbi ir atbalstāmi tikai tad, ja  tie nepieciešami, lai īstenotu organizācijas darbības stratēģijā plānotos kultūras pakalpojumus un veicinātu līdztiesību kultūras norišu vides piekļūstamībā.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Specifiskā atbalsta ietvaros projekta iesniedzējs var iesniegt vienu projekta iesniegumu. Ar projekta iesniedzēju, kas iesniedzis projekta iesniegumu specifiskā atbalsta ietvaros, vienlaikus nevar slēgt sadarbības līgumu kā ar sadarbības partneri cita projekta iesnieguma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ja tai ir pieejami valsts budžeta līdzekļi, izvērtējot plānotā avansa apmēru, tā pamatojumu, pamatojoties uz finansējuma saņēmēja rakstisku avansa pieprasījumu, var piešķirt finansējuma saņēmējam avansu pēc vienošanās un līguma par projekta īstenošanu noslēgšanas.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50 procentiem no projektam piešķirtā Eiropas Reģionālās attīstības fonda finansējums un valsts budžeta līdzfinansējuma kopsummas, ievērojot, ka avansu var izmaksāt vairākos maksājumos un avansa un starpposma maksājumu kopsumma nepārsniedz 90 procentus no projektam piešķirtā Eiropas Reģionālās attīstības fonda un valsts budžeta finansējuma kopsummas.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21.punktā noteiktos projekta iesniedzējus, lūdzam noteikumu projekta 20.punktā skaidri norādīt, tieši kādiem projekta iesniedzējiem ir plānots avanss, jo vēršam uzmanību, ja finansējuma saņēmējs ir valsts pārvaldes iestādes, tām avansa maksājumi netiek plānoti, jo tām ir iespējams saņemt priekšfinansējumu, pieprasot to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Ministru kabineta 2023.gada 25.aprīļa noteikumu Nr.205 "Valsts budžeta līdzekļu plānošanas kārtība Eiropas Savienības fondu projektu īstenošanai un maksājumu veikšanai 2021.–2027.gada plānošanas periodā" 18.punktā noteikts, ka ja finansējuma saņēmējs ir biedrība vai nodibinājums, tad avansa un starpposma maksājuma kopsumma var būt līdz 95 % no projektam piešķirtā Eiropas Savienības fonda finansējuma un, ja tas ir paredzēts projektā, valsts budžeta līdzfinansējuma kopsummas, ja šāda avansa un starpposma maksājumu kopsumma ir paredzēta normatīvajā aktā par specifiskā atbalsta mērķa īstenošanu, kā arī sadarbības iestāde saskaņā ar minēto noteikumu 9.punktā noteikto kārtību ir atzinusi avansa pieprasījumu par pamatotu. Ievērojot minēto, aicinām izvērtēt nepieciešamību precizēt noteikumu projektu attiecībā uz avansa un starpposma maksājuma pieļaujamās kopsummas procentuālo apmēru finansējuma saņēmējiem, kuri ir biedrības un nodibinājumi.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norādīt, uz kuriem finansējuma saņēmējiem attiecināms nosacījums avansa apgūšanai sešu mēnešu laikā saimnieciskā gada ietvaros, norādām, ka nosacījums par avansa apgūšanu sešu mēnešu laikā saimnieciskā gada ietvaros attiecināms tikai uz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notācijā noteikts, ka finansējuma saņēmējam avansu var piešķirt līdz 50 procentiem no projektam piešķirtā Eiropas Reģionālā attīstības fonda finansējuma, savukārt, noteikumu projekta 20. punktā līdz 50 procentiem no projektam piešķirtā Eiropas Reģionālās attīstības fonda finansējums un valsts budžeta līdzfinansējuma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avansa saņemšanas nosacījumus anotācijā vai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Sadarbības iestāde, ja tai ir pieejami valsts budžeta līdzekļi, izvērtējot plānotā avansa apmēru, tā pamatojumu, pamatojoties uz finansējuma saņēmēja rakstisku avansa pieprasījumu, var piešķirt finansējuma saņēmējam, kas nav valsts pārvaldes iestāde, avansu pēc vienošanās un līguma par projekta īstenošanu noslēgšanas. Finansējuma saņēmējs, kas ir pašvaldība, avansa pieprasījumu sagatavo un sadarbības iestāde to apstiprina, ņemot vērā, ka plānotā avansa apmērs un tā pamatojums atbilst spējai to izlietot sešu mēnešu laikā saimnieciskā gada ietvaros. Finansējuma saņēmējam avansu var piešķirt līdz 50 procentiem no projektam piešķirtā Eiropas Reģionālās attīstības fonda finansējuma un valsts budžeta līdzfinansējuma kopsummas, ja tas paredzēts projektā, ievērojot, ka avansu var izmaksāt vairākos maksājumos un avansa un starpposma maksājumu kopsumma valsts iestādei, atvasinātai publiskai personai, pašvaldībai, pašvaldības iestādei vai valsts un pašvaldības kapitālsabiedrībai vai citai privāto tiesību juridiskai personai, nepārsniedz 90 procentus un biedrībai un nodibinājumam 95 procentus</w:t>
            </w:r>
            <w:r w:rsidR="00000000" w:rsidRPr="00000000" w:rsidDel="00000000">
              <w:rPr>
                <w:rtl w:val="0"/>
              </w:rPr>
              <w:t xml:space="preserve">​</w:t>
            </w:r>
            <w:r w:rsidR="00000000" w:rsidRPr="00000000" w:rsidDel="00000000">
              <w:rPr>
                <w:rtl w:val="0"/>
              </w:rPr>
              <w:t xml:space="preserve"> no projektam piešķirtā Eiropas Reģionālās attīstības fonda un valsts budžeta finansējuma kopsummas.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 un sadarbības partnerim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ieviest priekšfinansējuma mehānismu pašvaldību, to iestāžu un kapitālsabiedrību projektu īstenošanai, kas būtiski sekmētu projektu savlaicīgu uzsākšanu un efektīvu realizāciju. Priekšfinansējums dotu iespēju pašvaldībām izvairīties no papildu aizdevumu piesaistes, tādējādi samazinot gan procentu maksājumus, gan citus ar aizņēmumiem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intensīvi apgūstot ES fondu finansējumu, priekšfinansējuma piešķiršana būtiski mazinātu risku, ka pašvaldībām varētu tikt liegts Finanšu ministrijas Pašvaldību aizņēmumu un galvojumu kontroles un pārraudzības padomes atbalsts gadījumos, kad tās sasniedz aizdevuma limitu.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20. punkts nosaka avansa apmēru, paredzot, ka avansa un starpposma maksājumu kopsumma pašvaldībai, pašvaldības iestādei vai pašvaldības kapitālsabiedrībai nepārsniedz 90 procentus no projektam piešķirtā ERAF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 un sadarbības partnerim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pašvaldība, kas projekta iesniegumu iesniedz pašvaldības kultūras iestādes, kas ir reģistrētas ar vienoto pašvaldības reģistrācijas numuru un kuras pamatdarbība ir kultūras vai radošajā nozarē, vārdā.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vai pašvaldība var iesniegt vairāku kultūras iestāžu vārdā vienu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Reģistrētas tiek izmantotas daudzskaitlī, bet iestāde ir vienskaitlī.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4.3.2. SAM ietvaros projekta iesniedzējs var iesniegt vienu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Noteikumu projekta 21.3.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pašvaldība, kas projekta iesniegumu iesniedz pašvaldības kultūras iestādes, kas ir reģistrēta ar vienoto pašvaldības reģistrācijas numuru un kuras pamatdarbība ir kultūras vai radošajā nozarē, vārdā.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Īpašuma vai turējuma tiesības attiecībā uz atbalstītajiem objektiem nemaina un ieguldījums paliek Latvijas Republikas teritorijā vismaz piecus gadus pēc noslēguma maksājuma veikšanas finansējuma saņēmējam. Īpašuma vai turējuma tiesības nostiprina zemesgrāmatā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UK 21-27 rakstiskajā procedūrā saskaņošanā esošajā "Projekta iesnieguma vērtēšanas kritēriju piemērošanas metodikā" vienotajā izvēles kritērijā Nr.2.1 ir minētas lietošanas vai valdījuma tiesības uz nekustamo īpašumu, intelektuālo īpašumu vai cita veida īpašumu, kurā tiks īstenotas projekta darbības, kuras nav minētas noteikumu projekta  24. punktā.  Lūdzam nodrošināt informācijas saskaņotību visos saistītajos dokumentos.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Īpašuma, turējuma, lietošanas, valdījuma vai nomas tiesības attiecībā uz atbalstītajiem objektiem nemaina un ieguldījums paliek Latvijas Republikas teritorijā vismaz piecus gadus pēc noslēguma maksājuma veikšanas finansējuma saņēmējam. Īpašuma, turējuma, lietošanas, valdījuma vai nomas tiesības nostiprina zemesgrāmatā (izņemot gadījumu, ja pašvaldības īpašums uz normatīvā akta, līguma vai pašvaldības lēmuma pamata ir nodots pašvaldības iestādes – projekta iesniedzēja – pārvaldīšanā vai ja īpašuma tiesības uz īpašuma objektu ir spēkā bez to nostiprināšanas zemesgrāmatā). Ja īpašuma, turējuma, lietošanas, valdījuma vai nomas tiesības nav nostiprinātas zemesgrāmatā līdz projekta iesnieguma iesniegšanas dienai, tās nostiprina zemesgrāmatā  līdz projekta noslēguma maksājuma veikšanai.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tas atbilst grūtībās nonākuša komersanta statusam saskaņā ar Regulas Nr. 651/2014 2. panta 18. punkta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tiesību normas skaidrību un nepārprotamību, lūdzam precizēt apakšpunktu, vārdu "tas" aizstājot ar "projekta iesniedzējs un/ vai sadarbības partneris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projekta iesniedzējs un/ vai sadarbības partneris (ja attiecināms) atbilst grūtībās nonākuša komersanta statusam saskaņā ar Regulas Nr. 651/2014 2. panta 18. punkta definīciju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projekta iesniedzējs un/vai sadarbības partneris (ja attiecināms) atbilst grūtībās nonākuša komersanta statusam, šo nosacījumu vērtējot uzņēmuma grupas līmenī saskaņā ar regulas Nr. 651/2014 2. panta 18. punkta definīciju;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iesniedzējs veic izmaksu un ieguvumu analīzi, ievērojot, ka projekta ekonomiskā ienesīguma norma ir lielāka par sociālo diskonta likmi un projekta ekonomiskā neto pašreizējā vērtība ir lielāka par nulli.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izpratni, lūdzam sniegt informāciju, vai izmaksu un ieguvumu analīze ir jāveic obligāti, t.i., neatkarīgi no projektu attiecināmo izmaksu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pamatojoties uz 2024. gada 15. novembra sanāksmi, kurā piedalījās Centrālās finanšu un līgumu aģentūras un Kultūras ministrijas pārstāvji, panākta vienošanās, ka var tikt saglabāta Noteikumu projekta redakcija, kas paredz, ka izdevumu un ieguvumu analīze ir jāizstrādā gadījumos, ja projekta kopējās attiecināmās izmaksas ir vismaz 1 000 000 </w:t>
            </w:r>
            <w:r w:rsidR="00000000" w:rsidRPr="00000000" w:rsidDel="00000000">
              <w:rPr>
                <w:i w:val="1"/>
                <w:rtl w:val="0"/>
              </w:rPr>
              <w:t xml:space="preserve">euro </w:t>
            </w:r>
            <w:r w:rsidR="00000000" w:rsidRPr="00000000" w:rsidDel="00000000">
              <w:rPr>
                <w:rtl w:val="0"/>
              </w:rPr>
              <w:t xml:space="preserve">un/vai projekta iesniedzējs pretendē uz komercdarbības atbalstu saskaņā ar Komisijas regulas Nr. 651/2014 53. pantu.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veic izmaksu un ieguvumu analīzi, ievērojot, ka projekta ekonomiskā ienesīguma norma ir lielāka par sociālo diskonta likmi un projekta ekonomiskā neto pašreizējā vērtība ir lielāka par nulli,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vai sadarbības partneris ir apzinājis mērķa grupas vajadzības un projekta ietvaros paredzēts strādāt ar sociāli mazaizsargātām grupām ar zemu kultūras līdzdalības īpatsvaru, projekta īstenošanā piesaistot ekspertus vai sadarbības partneri, kam ir pieredze sociāli iekļaujoša kultūras satura veidošanā.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pieeju, lūdzam detalizētāk skaidrot, vai ekspertus nepieciešams piesaistīt uz projekta iesnieguma sagatavošanu vai uz visu projekta īstenošanas periodu. Tāpat sniegt informāciju vai piemērus, kādas prasības, kompetence ir obligāta/jāņem vērā, lai piesaistītais eksperts/-i ir atbilstošs/-i projekta ieviešanai (kvalificētos kā eksperts dalībai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26. punkts nosaka, ka eksperts vai sadarbības partneris tiek iesaistīts projekta īstenošanā nevis projekta iesnieguma sagatavošanā. Vienlaikus Noteikumu projekts neparedz stingrākas prasības tieši uz cik ilgu laiku projekta īstenošanā eksperts vai sadarbības partneris jāpiesaista. Eksperta vai sadarbības partnera iesaistei ir jābūt jēgpilnai un tik apjomīgai, cik tas izriet no projekta jēgas un būtības, paredzot atbilstošas izmaksas projekta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iesniedzējs vai sadarbības partneris ir apzinājis mērķa grupas vajadzības un projekta ietvaros paredzēts strādāt ar sociāli mazaizsargātām grupām ar zemu kultūras līdzdalības īpatsvaru, projekta īstenošanā piesaistot ekspertus vai sadarbības partneri, kam ir pieredze sociāli iekļaujoša kultūras satura veidošanā.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iesniegumā plānotie infrastruktūras attīstības darbi ir pamatoti, ja tie nepieciešami, lai īstenotu organizācijas darbības stratēģijā plānotos kultūras pakalpojumus un veicinātu līdztiesību kultūras norišu vides piekļūstamībā.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plānotie infrastruktūras attīstības darbi ir pamatoti, ja tie ir nepieciešami, lai īstenotu organizācijas darbības stratēģijā plānotos kultūras pakalpojumus un nodrošinātu līdztiesību kultūras norišu vides piekļūstamībā. Lai pilnīgāk pamatotu infrastruktūras attīstības darbu nepieciešamību, ieteicams papildināt anotāciju ar skaidrojumu par projekta vērtēšanas metodiku, norādot, kā šie darbi veicinās kultūras pakalpojumu kvalitāti un pieejamību dažādām sabiedrības grupām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mērķis ir noteikt, ka projekta iesniegumā ir jāpamato plānoto investīciju infrastruktūrā sasaistē ar attīstāmo pakalpojumu un nav paredzēts noteikt stingrākas prasības pret attīstāmo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iesniegumā plānotie infrastruktūras attīstības darbi ir pamatoti, ja tie nepieciešami, lai īstenotu organizācijas darbības stratēģijā plānotos kultūras pakalpojumus un veicinātu līdztiesību kultūras norišu vides piekļūstamībā.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nodrošina projekta īstenošanas komunikācijas un vizuālās identitātes prasības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Regulas Nr. 2021/1060) 47. un 50. pantu un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norādi par komunikācijas un vizuālās identitātes prasību nodrošināšanas nosacījumu ievērošanu atbilstoši atbilstoši arī Eiropas Savienības fondu 2021.–2027.gada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nodrošina projekta īstenošanas komunikācijas un vizuālās identitātes prasības saskaņā ar Eiropas Parlamenta un Padomes (ES) 2021. 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regulas Nr. 2021/1060) 47. un 50. pantu un normatīvajiem aktiem par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izvērtē iespēju īstenot sociāli atbildīgu un inovatīvu iepirkumu  un vides prasību integrāciju preču un pakalpojumu  iepirkumos (zaļais publiskais iepirkums);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labot apakšpunkta redakciju, ņemot vērā, ka normatīvajos aktos nav sniegts skaidrojums, kā var izvērtēt iespēju.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w:t>
            </w:r>
            <w:r w:rsidR="00000000" w:rsidRPr="00000000" w:rsidDel="00000000">
              <w:rPr>
                <w:b w:val="1"/>
                <w:rtl w:val="0"/>
              </w:rPr>
              <w:t xml:space="preserve"> ir atbalstāms </w:t>
            </w:r>
            <w:r w:rsidR="00000000" w:rsidRPr="00000000" w:rsidDel="00000000">
              <w:rPr>
                <w:rtl w:val="0"/>
              </w:rPr>
              <w:t xml:space="preserve">sociāli atbildīgs un inovatīvs iepirkumu  un vides prasību integrācija preču un pakalpojumu  iepirkumos (zaļais publiskais iepirkums);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 ievēro, ka ir atbalstāms sociāli atbildīgs un inovatīvs iepirkums un vides prasību integrācija preču un pakalpojumu iepirkumos (zaļais publiskais iepirkums);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ar parakstu apliecina, ka nepastāv interešu konflikts;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noteikumu projekta 33.7. apakšpunktā atsauci uz Regulu 2018/1046, tās vietā norādot atsauci uz Regulu 2024/2509. Saskaņā ar Regulas 2024/2509 279. pantu atsauces uz atcelto Regulu 2018/1046 uzskata par atsaucēm uz Regulu 2024/2509, un tās lasa saskaņā ar atbilstības tabulu Regulas 2024/2509 II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 nodrošina interešu konflikta neesamību saskaņā ar Eiropas Parlamenta un Padomes 2024. gada 23. septembra Regulas (ES, Euratom) 2024/2509 par finanšu noteikumiem, ko piemēro Savienības vispārējam budžetam (pārstrādāta redakcija), 61. panta prasībām, kā arī ar parakstu apliecina, ka nepastāv interešu konflikts;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izmaksas ir attiecināmas,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uz to, ka gadījumā, ja atbalsts kvalificējas kā komercdarbības atbalsts un tiek sniegts, piemērojot Regulas Nr. 651/2014 53.pantu, uz to neattiecas Regulas Nr. 651/2014 6. panta 2. punktā minētā stimulējošās ietekmes prasība, ja ir izpildīti visi Regulas Nr. 651/2014  53. pantā noteiktie nosacījumi, un izmaksas var attiecināt arī tad, ja tās radušās pirms projekta iesnieguma iesniegšanas sadarbības iestādē vai pirms šo noteikumu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izvērtēt, vai nepieciešams noteikt stingrākas prasības kā nosaka Eiropas Komisija, nosakot īsāku izmaksu attiecināmības periodu.  Ja atbalsta programmas izstrādātājs plāno piemērot stingrākas prasības, lūdzam pamatot to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stingrākas prasības nav plānots noteikt, aicinām izvērtēt, vai noteikumu projekta 34.2. apakšpunktā būtu nepieciešams svītrot vārdus: “ja projekts nav saistīts ar komercdarbības atbalsta saņemšanu,” un 34.3.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35. punkts izteikts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izmaksas ir attiecināmas no šo noteikumu spēkā stāšanās dienas, ievērojot, ka projektā neiekļauj darbības, kas ir pabeigtas vienošanās vai līguma par projekta īstenošanu noslēgšanas brīdī.”.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izmaksas ir attiecināmas no šo noteikumu spēkā stāšanās dienas, ievērojot, ka projektā neiekļauj darbības, kas ir pabeigtas vienošanās vai līguma par projekta īstenošanu noslēgšanas brīdī.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Izmaksas ir attiecināmas no šo noteikumu spēkā stāšanās, ja šīs izmaksas nav saistītas ar komercdarbības atbalstu. Projektā neiekļauj darbības, kas ir pabeigtas vienošanās vai līguma par projekta īstenošanu noslēgšanas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21.punktā noteiktā projektu iesniedzēju uzskaitījuma izriet, ka projekta iesniedzējs būs arī valsts iestāde, attiecīgi vēršam uzmanību, ka gadījumā, ja projekta izmaksas paredzēts attiecināt no noteikumu spēkā stāšanās dienas vai pirms tam, un</w:t>
            </w:r>
            <w:r w:rsidR="00000000" w:rsidRPr="00000000" w:rsidDel="00000000">
              <w:rPr>
                <w:b w:val="1"/>
                <w:rtl w:val="0"/>
              </w:rPr>
              <w:t xml:space="preserve"> </w:t>
            </w:r>
            <w:r w:rsidR="00000000" w:rsidRPr="00000000" w:rsidDel="00000000">
              <w:rPr>
                <w:rtl w:val="0"/>
              </w:rPr>
              <w:t xml:space="preserve">finansējuma saņēmējs ir </w:t>
            </w:r>
            <w:r w:rsidR="00000000" w:rsidRPr="00000000" w:rsidDel="00000000">
              <w:rPr>
                <w:u w:val="single"/>
                <w:rtl w:val="0"/>
              </w:rPr>
              <w:t xml:space="preserve">valsts budžeta iestāde</w:t>
            </w:r>
            <w:r w:rsidR="00000000" w:rsidRPr="00000000" w:rsidDel="00000000">
              <w:rPr>
                <w:rtl w:val="0"/>
              </w:rPr>
              <w:t xml:space="preserve">, anotācijā ir jāsniedz pamatojums un noteikumu projektam ir jāpievieno Ministru kabineta sēdes protokollēmuma projekts, kas nosaka finanšu plūsmas pirms projekta apstiprināšanas nodrošināšanas nosacījumus, kā arī atbildīgās iestādes pienākumus un atbildību gadījumos, ja pirms projekta apstiprināšanas radušās izmaksas nav attiecināmas no Eiropas Savienības fondu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izvērtēt, un ja nepieciešams papildināt Ministru kabineta sēdes protokollēmuma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atklātas projektu iesniegumu atlases ietvaros pirms projekta iesniegumu apstiprināšanas nav zināms, vai starp projektu īstenotājiem būs valsts budžeta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izmaksas ir attiecināmas no šo noteikumu spēkā stāšanās dienas, ievērojot, ka projektā neiekļauj darbības, kas ir pabeigtas vienošanās vai līguma par projekta īstenošanu noslēgšanas brīdī.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netiešās attiecināmās izmaksas plāno kā vienu izmaksu pozīciju, piemērojot netiešo izmaksu vienoto likmi 15 procentu apmērā no šo noteikumu </w:t>
            </w:r>
            <w:r w:rsidR="00000000" w:rsidRPr="00000000" w:rsidDel="00000000">
              <w:rPr>
                <w:rtl w:val="0"/>
              </w:rPr>
              <w:t xml:space="preserve">36.1. </w:t>
            </w:r>
            <w:r w:rsidR="00000000" w:rsidRPr="00000000" w:rsidDel="00000000">
              <w:rPr>
                <w:rtl w:val="0"/>
              </w:rPr>
              <w:t xml:space="preserve">apakšpunktā</w:t>
            </w:r>
            <w:r w:rsidR="00000000" w:rsidRPr="00000000" w:rsidDel="00000000">
              <w:rPr>
                <w:rtl w:val="0"/>
              </w:rPr>
              <w:t xml:space="preserve"> minētajām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izpratni, lūdzam sniegt informāciju, piemērus, kādas izmaksas var ietvert projekta netiešajās attiecināmās izmaksās, un vai finansējuma saņēmējiem projekta atskaitēs būs nepieciešams Sadarbības iestādei iesniegt izmaksu pamatojošo dokumentāciju par šīm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Vadlīnijām attiecināmo izmaksu noteikšanai Eiropas Savienības kohēzijas politikas programmas 2021.-2027. gada plānošanas periodā netiešās attiecināmās izmaksas ir projekta attiecināmās izmaksas, kas nav tieši saistītas ar projekta mērķu sasniegšanu, bet atbalsta un nodrošina atbilstošus apstākļus projekta veicamo darbību realizācijai un projekta rezultātu sasniegšanai. Tās ir, piemēram, finansējuma saņēmēja/gala saņēmēja un/vai gala labuma guvēja projekta vadības un projekta īstenošanas personāla administratīvās izmaksas, kas paredzētas iestādes ikdienas darbības nodrošināšanai – izmaksas, kuras nepieciešamas, lai organizācija varētu darboties un kuras nav tieši saistītas ar projekta īstenošanu, piemēram, telpu īre un iekārtu izmantošanas izmaksas, kancelejas preces, komunālo un sakaru pakalpojumu izmaksas, iestādes vadības un atbalsta struktūrvienību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izmantojot vienoto likmi nav nepieciešams pamatot un iesniegt izmaksu pamatojošos dokumentus par netiešo izmaksu izlietojumu.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Projekta netiešās attiecināmās izmaksas plāno kā vienu izmaksu pozīciju, piemērojot netiešo izmaksu vienoto likmi 15 procentu apmērā no 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netiešās attiecināmās izmaksas plāno kā vienu izmaksu pozīciju, piemērojot netiešo izmaksu vienoto likmi 15 procentu apmērā no šo noteikumu 38.1. apakšpunktā minētajām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atsauci uz 38.1.apakšpunktu, no kādām izmaksām tiek rēķināta vienotā likme 15 procentu apmērā, precizēt uz 34.1.apakšpunktu.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netiešās attiecināmās izmaksas plāno kā vienu izmaksu pozīciju, piemērojot netiešo izmaksu vienoto likmi 15 procentu apmērā no šo noteikumu </w:t>
            </w:r>
            <w:r w:rsidR="00000000" w:rsidRPr="00000000" w:rsidDel="00000000">
              <w:rPr>
                <w:b w:val="1"/>
                <w:rtl w:val="0"/>
              </w:rPr>
              <w:t xml:space="preserve">34.1. apakšpunktā</w:t>
            </w:r>
            <w:r w:rsidR="00000000" w:rsidRPr="00000000" w:rsidDel="00000000">
              <w:rPr>
                <w:rtl w:val="0"/>
              </w:rPr>
              <w:t xml:space="preserve"> minētajām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Projekta netiešās attiecināmās izmaksas plāno kā vienu izmaksu pozīciju, piemērojot netiešo izmaksu vienoto likmi 15 procentu apmērā no šo noteikumu </w:t>
            </w:r>
            <w:r w:rsidR="00000000" w:rsidRPr="00000000" w:rsidDel="00000000">
              <w:rPr>
                <w:rtl w:val="0"/>
              </w:rPr>
              <w:t xml:space="preserve">37.1. </w:t>
            </w:r>
            <w:r w:rsidR="00000000" w:rsidRPr="00000000" w:rsidDel="00000000">
              <w:rPr>
                <w:rtl w:val="0"/>
              </w:rPr>
              <w:t xml:space="preserve">apakšpunktā</w:t>
            </w:r>
            <w:r w:rsidR="00000000" w:rsidRPr="00000000" w:rsidDel="00000000">
              <w:rPr>
                <w:rtl w:val="0"/>
              </w:rPr>
              <w:t xml:space="preserve"> minētajām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tiešās attiecināmās izmaksas, kas sekmē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minētās atbalstāmās darbības,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vienkāršoto izmaksu iespējami plašāku piemērošanu arī citām izmaksu pozīcijām. Ja piemērot vienkāršotās izmaksas papildus jau paredzētajam nav iespējams, lūdzam sniegt pamatojumu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ir izvērtējusi iespēju Specifiskā atbalsta ietvaros piemērot vienkāršotās izmaksas un secinājusi, ka attiecībā uz personāla izmaksām vienkāršoto izmaksu vienotās likmes līdz 20% no pārējām tiešajām attiecināmajām izmaksām piemērošana nav atbilstoša, jo Specifiskā atbalsta ietvaros paredzēts nodrošināt kultūras pakalpojumu īstenošanas personāla izmaksas, paredzot starpdisciplināru sadarbību ar dažādu jomu ekspertiem (kultūras, veselības un sociālās jomas), lai reaģētu uz mērķauditorijas specifiskajām vajadzībām un precīzāk sasniegtu auditoriju, strādājot starpdisciplinārā komandā. Attiecīgi vienotās likmes līdz 20% apmērā piemērošana ir nepietiekama šāda veida projekta īstenošanai, savukārt, personāla atlīdzības vienas vienības izmaksu standarta likmes piemērošana nav atbilstoša, jo pirms projektu iesniegumu iesniegšanas nav iespējams definēt visus starpdisciplinārās projekta īstenošanas personāla amatus un atalgojuma sliekšņus.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identificētas citas izmaksas, kuru vienkāršākai uzskaitei būtu lietderīgi izstrādāt tādu vienkāršoto izmaksu metodiku, kas neierobežos projektu mērķu un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Specifiskā atbalsta ietvaros nav plānots piemērot citas vienkāršotās izmaksas. Ņemot vērā, ka kultūras mantojuma atjaunošanā un kultūras infrastruktūras būvniecībā netiek piemēroti standartizēti būvniecības risinājumi, papildus radot individuālu ēku dizainu un plānojumu, tai skaitā ievērojot Jaunā Eiropas Bauhaus principus, vienkāršoto izmaksu piemērošana Specifiskā atbalsta ietvaros netiek piemērota.”.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Projekta tiešās attiecināmās izmaksas, kas sekmē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minētās atbalstāmās darbības,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projekta vadības un īstenošanas personāla atlīdzības izmaksas, kas tieši saistītas ar projektu īstenošanu un mērķa sasniegšanu un radušās uz darba līguma vai uzņēmuma līguma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lūdzam aizstāt noteikumu projekta 36.1.apakšpunktā vārdus "personāla atlīdzības izmaksām" ar vārdiem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projekta vadības un īstenošanas personāla izmaksas, kas tieši saistītas ar projektu īstenošanu un mērķa sasniegšanu un radušās uz darba līguma pamata. Ja personāla iesaiste projektā ir nodrošināta saskaņā ar daļlaika izmaksu attiecināmības principu, attiecināma ir ne mazāka kā 30 procentu noslodze. Ja personāls ir nodarbināts nepilnu darba laiku, izmaksas nosakāmas atbilstoši nepilnā darba laika noslodzei;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34.2.7. ekspertu izmaksas, kas tieši saistītas ar investīcijām infrastruktūrā, būvuzraudzības, autoruzraudzības un arheoloģiskās uzraudzības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34.2.7. apakšpunktu izdalīt kā atsevišķu punktu, jo šīs nav projekta pamatojošās dokumentācijas sagatavošanas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10% ierobežojums no kopējām attiecināmajām izmaksām attiecas arī uz būvuzraudzības un autoruzraudzības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aicinām dzēst tekstu "ekspertu izmaksas, kas tieši saistītas ar investīcijām infrastruktūrā", ja nav paredzēta citu ekspertu piesaiste, ārpus noteikumu projekta 34.8.2. apakšpunktā noteiktajām ekspertu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36.4.4. teritorijas labiekārtošana, kas nepieciešama teritorijas un objektu funkcionalitātes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skaidrojumu kādi noteikumu projekta 36.4.4. apakšpunktā minētie teritorijas labiekārtošanas darbi potenciāli varētu būt nepieciešami teritorijas un objektu funkcionalitātes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 skaitā teritorijas labiekārtošanas izmaksas, kas nepieciešamas teritorijas un objektu funkcionalitātes nodrošināšanai (labiekārtojuma elementu uzstādīšana (videi draudzīgas un personām ar dažādiem funkcionāliem traucējumiem atbilstošas apgaismojuma sistēmas izbūve vai esošās apgaismojuma sistēmas renovācija, tai skaitā apgaismojuma sistēmai nepieciešamā elektrotīklu izbūve vai pārbūve, soliņi un galdi lietošanai ārtelpā, atkritumu tvertnes, velosipēdu novietnes, žogi), vājstrāvu tīklu izbūve vai esošo vājstrāvu tīklu pārbūve, kas nepieciešama ārtelpas ierīkošanai un drošībai, tai skaitā videonovērošanas kameru iegāde un uzstādīšana), (..)”.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37.4.4. teritorijas labiekārtošana, kas nepieciešama teritorijas un objektu funkcionalitātes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36.4.5. teritorijas labiekārtošana, kas nepieciešama teritorijas un objektu funkcionalitātes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kādi noteikumu projekta 36.4.5. punktā minētie teritorijas labiekārtošanas darbi potenciāli varētu būt nepieciešami teritorijas un objektu funkcionalitātes nodrošināšanai, ņemot vērā, ka noteikumu projekta 36.4.2. punktā jau ir minēta būves sasniedzamības un piekļūstamības nodrošinošās infrastruktūras attīstība.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36.4.2. 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37.4.4. teritorijas labiekārtošana, kas nepieciešama teritorijas un objektu funkcionalitātes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 kultūras pakalpojuma izveides izmaksas, tai skaitā materiālu, aprīkojuma un iekārtu nomas, iegādes un uzstādīšanas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izpratni, lūdzam sniegt papildu skaidrojumu, kāds aprīkojuma un iekārtu nomas periods ir attiecināms 4.3.2. SAM projekta ietvaros, proti, vai nomas izmaksas ir attiecināmas uz noteiktu plānotās aktivitātes ieviešanas termiņu projekta ietvaros vai uz visu projekta ieviešanas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kopumā izmaksas ir attiecināmas visā projekta īstenošanas periodā. Papildus projekta iesnieguma vērtēšanā tiks vērtēts, vai plānotās izmaksas ir nepieciešams projekta darbību īstenošanai, attiecīgi tiks vērtēts arī, vai projektā plānotās aprīkojuma nomas termiņš atbilst aktivitāšu laika grafikam, kam aprīkojums paredzēts.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 kultūras pakalpojuma izveides izmaksas, tai skaitā materiālu, aprīkojuma un iekārtu nomas, iegādes un uzstādīšanas izmaksas un informācijas tehnoloģiju risinājumu izstrādes, iegādes, atjaunošanas un modernizēšanas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36.8.1. projekta īstenošanas personāla iekšzemes komandējumu un darba braucienu izmaksas, kam piemēro Finanšu ministrijas metodikā "Vienas vienības izmaksu standarta likmes aprēķina un piemērošanas metodika iekšzemes komandējumu izmaksām darbības programmas "Izaugsme un nodarbinātība" īstenošanai" noteiktās vienas vienības izmaksu standarta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nosaukumu: "Vienas vienības izmaksu standarta likmes aprēķina un piemērošanas metodika iekšzemes komandējumu izmaksām darbības programmas “Izaugsme un nodarbinātība” </w:t>
            </w:r>
            <w:r w:rsidR="00000000" w:rsidRPr="00000000" w:rsidDel="00000000">
              <w:rPr>
                <w:u w:val="single"/>
                <w:rtl w:val="0"/>
              </w:rPr>
              <w:t xml:space="preserve">un Eiropas Savienības kohēzijas politikas programmas 2021.–2027.gadam īstenošanai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37.8.1. projekta īstenošanas personāla iekšzemes komandējumu un darba braucienu izmaksas, kam piemēro Finanšu ministrijas metodikā "Vienas vienības izmaksu standarta likmes aprēķina un piemērošanas metodika iekšzemes komandējumu izmaksām darbības programmas "Izaugsme un nodarbinātība" un Eiropas Savienības kohēzijas politikas programmas 2021.-2027. gadam īstenošanai" noteiktās vienas vienības izmaksu standarta likmes;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36.8.2. projekta īstenošanas personāla degvielas izmaksas vieglajam transportlīdzeklim un reģionālās starppilsētu nozīmes un reģionālās vietējas nozīmes sabiedriskā transporta izmaksas, kam piemēro Finanšu ministrijas metodikā "Vienas vienības izmaksu standarta likmes aprēķina un piemērošanas metodika 1 km izmaksām darbības programmas "Izaugsme un nodarbinātība" īstenošanai" noteiktās vienas vienības izmaksu standarta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nosaukumu: "Vienas vienības izmaksu standarta likmes aprēķina un piemērošanas metodika 1 km izmaksām darbības programmas “Izaugsme un nodarbinātība” </w:t>
            </w:r>
            <w:r w:rsidR="00000000" w:rsidRPr="00000000" w:rsidDel="00000000">
              <w:rPr>
                <w:u w:val="single"/>
                <w:rtl w:val="0"/>
              </w:rPr>
              <w:t xml:space="preserve">un Eiropas Savienības kohēzijas politikas programmas 2021.–2027.gadam īstenošanai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37.8.2. projekta īstenošanas personāla degvielas izmaksas vieglajam transportlīdzeklim un reģionālās starppilsētu nozīmes un reģionālās vietējas nozīmes sabiedriskā transporta izmaksas, kam piemēro Finanšu ministrijas metodikā "Vienas vienības izmaksu standarta likmes aprēķina un piemērošanas metodika 1 km izmaksām darbības programmas "Izaugsme un nodarbinātība" un Eiropas Savienības kohēzijas politikas programmas 2021.-2027. gadam īstenošanai" noteiktās vienas vienības izmaksu standarta likmes;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34.8.2. ekspertu konsultāciju izmaksas par dzimumu līdztiesības, personu ar invaliditāti vienlīdzīgu iespēju, vecuma nediskriminācijas, etniskās un citas piederības pamattiesību jautājumiem.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minētie eksperti nav uzskatāmi par projekta īstenošanas personālu.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eksperti tiks piesaistīti kā pakalpojuma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37.11.2. ekspertu konsultāciju izmaksas par dzimumu līdztiesības, personu ar invaliditāti vienlīdzīgu iespēju, vecuma nediskriminācijas, etniskās un citas piederības pamattiesību jautājumiem.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36.8.7. citas ar kultūras pakalpojuma īstenošanu saistītās izmaksas, kas nodrošina projekta mērķa un rezultātu sasniegšanu un nav noteiktas šo noteikumu </w:t>
            </w:r>
            <w:r w:rsidR="00000000" w:rsidRPr="00000000" w:rsidDel="00000000">
              <w:rPr>
                <w:rtl w:val="0"/>
              </w:rPr>
              <w:t xml:space="preserve">36.8. </w:t>
            </w:r>
            <w:r w:rsidR="00000000" w:rsidRPr="00000000" w:rsidDel="00000000">
              <w:rPr>
                <w:rtl w:val="0"/>
              </w:rPr>
              <w:t xml:space="preserve">apakšpunktā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anotācijā aprakstīt, kādas citas ar kultūras pakalpojuma īstenošanu saistītās izmaksas varētu tikt attiecinātas zem noteikumu projekta 36.8.7.apakšpunkta (var minēt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36.8.7. apakšpunkts svītrots.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Specifiskā atbalsta atbalstāmo darbību ietvaros ir attiecināms pievienotās vērtības nodoklis tiešajām attiecināmajām izmaksām atbilstoši Regulas Nr. 2021/1060 64. panta 1. punkta "c" apakšpunkta nosacījumiem,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Parlamenta un Padomes 2021.gada 24.jūnija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64.panta 1.punkta "c" apakšpunktu </w:t>
            </w:r>
            <w:r w:rsidR="00000000" w:rsidRPr="00000000" w:rsidDel="00000000">
              <w:rPr>
                <w:u w:val="single"/>
                <w:rtl w:val="0"/>
              </w:rPr>
              <w:t xml:space="preserve">darbībām (t.i. projektiem), kuru kopējās izmaksas ir mazākas nekā 5 000 000 </w:t>
            </w:r>
            <w:r w:rsidR="00000000" w:rsidRPr="00000000" w:rsidDel="00000000">
              <w:rPr>
                <w:i w:val="1"/>
                <w:u w:val="single"/>
                <w:rtl w:val="0"/>
              </w:rPr>
              <w:t xml:space="preserve">euro</w:t>
            </w:r>
            <w:r w:rsidR="00000000" w:rsidRPr="00000000" w:rsidDel="00000000">
              <w:rPr>
                <w:u w:val="single"/>
                <w:rtl w:val="0"/>
              </w:rPr>
              <w:t xml:space="preserve"> (ieskaitot pievienotās vērtības nodokli (PVN)), PVN ir attiecināms</w:t>
            </w:r>
            <w:r w:rsidR="00000000" w:rsidRPr="00000000" w:rsidDel="00000000">
              <w:rPr>
                <w:rtl w:val="0"/>
              </w:rPr>
              <w:t xml:space="preserve">. No noteikumu projekta 14.punkta izriet, ka katra projekta maksimālais kopējais attiecināmais finansējums ir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Izņēmums no iepriekš minētās PVN attiecināmības ir gadījumos, </w:t>
            </w:r>
            <w:r w:rsidR="00000000" w:rsidRPr="00000000" w:rsidDel="00000000">
              <w:rPr>
                <w:u w:val="single"/>
                <w:rtl w:val="0"/>
              </w:rPr>
              <w:t xml:space="preserve">ja šādos projektos finansējuma saņēmējs ir komercdarbības atbalsta (t.sk. de minimis) saņēmējs,</w:t>
            </w:r>
            <w:r w:rsidR="00000000" w:rsidRPr="00000000" w:rsidDel="00000000">
              <w:rPr>
                <w:rtl w:val="0"/>
              </w:rPr>
              <w:t xml:space="preserve"> jo šādās situācijās </w:t>
            </w:r>
            <w:r w:rsidR="00000000" w:rsidRPr="00000000" w:rsidDel="00000000">
              <w:rPr>
                <w:u w:val="single"/>
                <w:rtl w:val="0"/>
              </w:rPr>
              <w:t xml:space="preserve">PVN tiešajām attiecināmajām izmaksām var tikt attiecināts tikai tādā gadījumā, ja tas nav atgūstams atbilstoši normatīvajiem aktiem nodokļu politikas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nepieciešamību precizēt noteikumu projektu, paredzot, ka gadījumos, kad finansējuma saņēmējs </w:t>
            </w:r>
            <w:r w:rsidR="00000000" w:rsidRPr="00000000" w:rsidDel="00000000">
              <w:rPr>
                <w:u w:val="single"/>
                <w:rtl w:val="0"/>
              </w:rPr>
              <w:t xml:space="preserve">nav</w:t>
            </w:r>
            <w:r w:rsidR="00000000" w:rsidRPr="00000000" w:rsidDel="00000000">
              <w:rPr>
                <w:rtl w:val="0"/>
              </w:rPr>
              <w:t xml:space="preserve"> komercdarbības atbalsta saņēmējs, </w:t>
            </w:r>
            <w:r w:rsidR="00000000" w:rsidRPr="00000000" w:rsidDel="00000000">
              <w:rPr>
                <w:u w:val="single"/>
                <w:rtl w:val="0"/>
              </w:rPr>
              <w:t xml:space="preserve">ir attiecināms PVN tiešajām attiecināmajām izmaksām</w:t>
            </w:r>
            <w:r w:rsidR="00000000" w:rsidRPr="00000000" w:rsidDel="00000000">
              <w:rPr>
                <w:rtl w:val="0"/>
              </w:rPr>
              <w:t xml:space="preserve">, attiecīgi neietverot norādi par to, ka PVN attiecināms tikai tad,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Pievienotās vērtības nodoklis, kas tiešā veidā saistīts ar projektu, uzskatāms par attiecināmām izmaksām saskaņā ar regulas Nr. 2021/1060 64. panta 1. punkta “c” apakšpunktā ietvertajiem nosacījumiem, ja tas nav atgūstams saskaņā ar attiecīgās valsts tiesību aktiem pievienotās vērtības nodokļa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Specifiskā atbalsta atbalstāmo darbību ietvaros, ja finansējuma saņēmējs nav komercdarbības atbalsta saņēmējs, ir attiecināms pievienotās vērtības nodoklis tiešajām attiecināmajām izmaksām atbilstoši Regulas Nr. 2021/1060 64. panta 1. punkta "c" apakšpunkta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tiek plānoti komercdarbības atbalsta nosacījumi, lūdzam izteikt noteikumu projekta 39.punktu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Pievienotās vērtības nodoklis, kas tiešā veidā saistīts ar projektu, uzskatāms par attiecināmām izmaksām saskaņā ar regulas Nr. 2021/1060 64. panta 1. punkta “c” apakšpunktā ietvertajiem nosacījumiem, ja tas nav atgūstams saskaņā ar attiecīgās valsts tiesību aktiem pievienotās vērtības nodokļa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Pievienotās vērtības nodoklis, kas tiešā veidā saistīts ar projektu, uzskatāms par attiecināmām izmaksām saskaņā ar regulas Nr. 2021/1060 64. panta 1. punkta “c” apakšpunktā ietvertajiem nosacījumiem, ja tas nav atgūstams saskaņā ar attiecīgās valsts tiesību aktiem pievienotās vērtības nodokļa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8.2.sadaļā, ka 4.3.2.SAM ir nebūtiska ietekme uz horizontālo principu “Klimatdrošināšana”, “Energoefektivitāte pirmajā vietā” un “Nenodarīt būtisku kaitējumu” īstenošanu īstenošanu, un KM nav plānojusi noteikt šai kārtai papildus nosacījumus, kas pārsniedz Latvijas nacionālajā horizontālajā regulējumā jau noteikto prasību ievērošanu, piemēram, prasība Zaļajam publiskajam iepirkumam (Ministru kabineta 2017. gada 20. jūnija noteikumi Nr. 353 “Prasības zaļajam publiskajam iepirkumam un to piemērošanas kārtība”), pienākums valsts iestādei, pašvaldībai un citai atvasinātai publiskai personai ziņot par iegūto enerģijas ietaupījumu pēc energopārvaldības sistēmas ieviešanas (Energoefektivitātes likums), prasības attiecībā uz ēku energoefektivitāti (Ministru kabineta 2021. gada 8. aprīļa noteikumi Nr. 222 “Ēku energoefektivitātes aprēķina metodes un ēku energosertifikācijas noteikumi”)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terminu “vides pieejamība” aizstāt ar terminu “vides un informācijas piekļūstamība”.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“informācijas piekļūstamība” ietver sevī risinājumus cilvēkiem ar redzes, dzirdes un garīga rakstura traucējumiem, piemēram, taktilie un kontrasta risinājumi, indukcijas cilpas, virziena norādes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anotācijas tekstā terminu “pieejamība” aizstāt ar terminu “piekļūstamība”.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terminu “cilvēki ar īpašām vajadzībām” aizstāt ar “cilvēki ar funkcionāliem traucējumiem”. Vēršam uzmanību, ka šāds termins tiek lietots vairākos likumos, piemēram Sociālo pakalpojumu un sociālās palīdzības likumā un  Invaliditātes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veikt grozījumus 04.10.2024. Eiropas Savienības fondu 2021.–2027.gada plānošanas perioda uzraudzības komitejas rakstiskajā procedūrā ar lēmumu Nr. 5.2-3/16/37 apstiprinātajos 4.3.2.specifiskā atbalsta mērķa “Kultūras un tūrisma lomas palielināšana ekonomiskajā attīstībā, sociālajā iekļaušanā un sociālajās inovācijās” projekta iesnieguma vērtēšanas kritērijos, ņemot vērā anotācijas 1.3.sadaļā veikto papildinājumu: "</w:t>
            </w:r>
            <w:r w:rsidR="00000000" w:rsidRPr="00000000" w:rsidDel="00000000">
              <w:rPr>
                <w:i w:val="1"/>
                <w:rtl w:val="0"/>
              </w:rPr>
              <w:t xml:space="preserve">Specifiskā atbalsta ietvaros tiek piemērota teritoriālā pieeja, paredzot, ka katrā plānošanas reģionā (Kurzemes, Zemgales, Vidzemes, Latgales un Rīgas plānošanas reģionā) tiks īstenots vismaz 1 projekts. Projektu iesniegumu atlasē paredzot projektu iesniegumu ranžēšanas principu, kas paredz līdzvērtīgas iespējas īstenot efektīvākos projektus visos plānošanas reģionos. Projekta iesnieguma īstenošanas reģions tiek noteikts atbilstoši infrastruktūras, kurā tiek veikti ieguldījumi, faktiskajai adresei, kas tiek noteikta Nekustamā īpašuma valsts kadastra informācijas sistēmā. Projekta iesniegumu ranžēšanas nosacījumi tiek noteikti specifiskā atbalsta projekta iesniegumu atlases nolikumā.</w:t>
            </w:r>
            <w:r w:rsidR="00000000" w:rsidRPr="00000000" w:rsidDel="00000000">
              <w:rPr>
                <w:rtl w:val="0"/>
              </w:rPr>
              <w:t xml:space="preserve">"  Vēršam uzmanību, ka apstiprinātajā kritēriju komplektā nav iekļauti kritēriji, kas noteiktu projektu vērtēšanas kārtību katrā no plānošanas reģioniem.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vienojoties ar Centrālo finanšu un līgumu aģentūru, rosinās nepieciešamos grozījumus vērtēšanas kritērijos vai precizējumus kritēriju piemērošanas metodikā.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- 10.09.2024.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Pēc specifiskā atbalsta ieguldījumu veikšanas attiecīgais objekts nodrošinās ilgtspējību, demonstrējot projekta iesniedzēja spēju nodrošināt objekta uzturēšana pēc projekta īstenošanas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un nodrošinātu vienotu pieeju, tajā skaitā arī savlaicīgi veiktu pasākumus projekta ilgtspējas nodrošināšanai,  lūdzam MKN projekta anotācijā detalizētāk skaidrot, cik ilgs ir plānotais projekta pēcuzraudzības periods pēc projekta īstenošanas un vai tas mainās atkarībā no projektā plānoto darbību kopuma.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32.8. apakšpunktam finansējuma saņēmējs un sadarbības partneris nodrošina projekta ietvaros sasniegto rezultātu ilgtspēju vismaz piecus gadus pēc noslēguma maksājuma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(Rīgas metropole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MK noteikumu projekta anotācijā detalizētāku aprakstu, kāda dokumentācija ir jāiesniedz, lai saņemtu Kultūras ministrijas atzinumu par stratēģijas atbilstību šī SAM nosacījumiem, vai šādu informāciju iesniedz projekta iesniedzējs vai potenciāli plānotais sadarbības partneris. Tāpat lūdzam norādīt, kādā termiņā tiks sniegts atzinums no atbildīgās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svītrots nosacījums par darbības stratēģijas saskaņošanu ar Kultūras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visiem intervences kodiem,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kohēzijas politikas programmai 2021. – 2027. gadam specifiskā atbalsta finansējuma sadalījums pa intervences kodiem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“Intervences laukums”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166 “Kultūras mantojuma aizsardzība, pilnveidošana un popularizēšana un kultūras pakalpojumi” – ERAF finansējums 17 141 132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 “Dotācija” - ERAF finansējums 17 141 132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“Teritoriālie sasniegšanas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33 “Bez teritoriālā mērķa” - ERAF finansējums 17 141 132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“ESF+ sekundārās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9 “Nav piemērojams” - ERAF finansējums 17 141 132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“Dzimumu līdztiesība”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 “Dzimumu neitralitāte” - ERAF finansējums 17 141 132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vai precizēt anotācijas 1.3.sadaļā norādīto: "Ir pieļaujams, ka par projekta būvniecības darbībām projekta iesnieguma iesniegšanas brīdī jau ir noslēgts būvdarbu līgums un uzsākti būvdarbi." lai nodrošinātu atbilstību 32.punkta nosacījumam, ka izmaksas ir attiecināmas no noteikumu spēkā stāšanās, ja šīs izmaksas nav saistītas 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anotācijā norādītās informācijas atbilstību noteikumu projektā noteiktajām attiecināmajām izmaksām un papildināt anotāciju ar 34.8. apakšpunktā minētajām izmaksām - izmaksas horizontālā principa "vienlīdzība, iekļaušana, nediskriminācija un pamattiesību ievērošana" īstenošanai, kas nepieciešamas, lai nodrošinātu atbilstību vides un informācijas piekļūstamības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iesniedzēju loku, kuri kvalificējas kā "Kultūras un radošā nozare", ja iespējams, norādot nozares atbilstoši NACE. 2 klasifikatoram.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kultūras jomas pakalpojuma sniedzēju uzskatāms tāds pakalpojuma sniedzējs, kas darbojas kultūras un kultūrvēsturiskā mantojuma saglabāšanas jomā, atbilstoši Paziņojumā par valsts atbalsta jēdzienu 33.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noteikumu projekta un anotācijas saskaņotību, precizējot definēto projekta iesniedzēju un sadarbības partneru loku. Šī brīža noteikumu projekta 21. un 22. punktā norādītais projekta iesniedzēju un sadarbības partneru loks atšķiras no anotācijas 2.1. punktā "Sabiedrības grupas, kuras tiesiskais regulējums ietekmē, vai varētu ietekmēt" minētā (piemēram, plānošanas reģioni, reliģiskas organizācijas , kas nav ietverti noteikumu 21. un 22.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2.1. sadaļā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2.1.sadaļas apakšsadaļu "Juridiskās personas" ar norādi uz Kultūras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 anotācijas budžeta sadaļas "Cita informācija" norādīt, no kura budžeta resora programmas plānots finansējums pasākumu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horizontālā principa “Vienlīdzība, iekļaušana, nediskriminācija un pamattiesību ievērošana” (turpmāk - HP VINPI) Vadlīnijām [1] aicinām sadaļā sniegt informāciju par pasākuma ietekmi uz personu ar invaliditāti vienlīdzīgām iespējām un tiesībām un papildināt sadaļu ar vispārīgajām un specifiskajām HP VINPI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kvalitātes kritēriju par horizontālā principa “Vienlīdzība, iekļaušana, nediskriminācija un pamattiesību ievērošana” ievērošanu, kura ietvaros tiek vērtēts, vai projektaiesniegumā tiek paredzētas darbības, kas veicina personu ar invaliditāti vienlīdzīgas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projektos ir jāparedz horizontālā principa darbības, kas īpaši veicina vides un informācijas piekļūstamību personām ar kustību, redzes, dzirdes vai garīga rakstura traucējumiem, vecāka gadagājuma cilvēkiem un vecākiem ar maziem bērniem,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tiks nodrošinātas vides piekļūstamības ekspertu konsultācijas, tās paredzot projektēšanas un būvniecības procesā (attiecīgi pievienojot dokumentus, piem. konsultāciju protokolus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būvnormatīvā LBN 200-21 noteiktajam, projekta ietvaros tiks īstenotas labās prakses darbības, kas īpaši veicina vides - piekļūstamību cilvēkiem ar funkcionāliem traucējumiem (LM vadlīnijas “Labās prakses ieteikumi vides piekļūstamības nodrošināšanai papildus LBN 200-21 noteiktajam”. Pieejams šeit: https://www.lm.gov.lv/lv/ieteikumi-ieklaujosas-vides-veidosanai;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plānojot būves dizainu, tiks ņemts vērā daudzveidības un iekļaušanas princips, balstoties uz cilvēku ar invaliditāti vajadzībām ne vien uz fizisku piekļūšanu būvei, bet arī uz specifiskām vajadzībām attiecībā uz būves noformējumu, lietojamību un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mediju kampaņu, semināru, konferenču un komunikācijas pasākumu īstenošanā sabiedrības informēšanai tiks nodrošināti cilvēkiem ar dažāda veida funkcionāliem traucējumiem piekļūstami formāti (piemēram, tulkošana zīmju valodā, subtitrēšana, Braila druka,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konkrētajai videi/objektam/pasākuma norises vietai ir iespēja fiziski piekļūt un to izmantot cilvēkiem ar dažādiem funkcionāliem traucējumiem gan kā pasākuma skatītājiem, gan kā dalībniekiem u.c.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horizontālā principa “Vienlīdzība, iekļaušana, nediskriminācija un pamattiesību ievērošana” (turpmāk - HP ) Vadlīnijām [1] aicinām sadaļā sniegt informāciju par pasākuma ietekmi uz dzimumu līdztiesību un papildināt sadaļu ar vispārīgajām un specifiskajām HP VINPI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komplekts iekļauj kvalitātes kritēriju par horizontālā principa “Vienlīdzība, iekļaušana, nediskriminācija un pamattiesību ievērošana” ievērošanu, kura ietvaros tiek vērtēts, vai projekta iesniegumā tiek iekļautas vispārīgas un specifiskas HP VINPI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pārvietošanos uz ielas - ietves tiks veidotas ar lēzenu nobraukumu/uzbraukumu, izvairoties no kāpnēm. Svarīga ir arī soliņu izbūve pie ietvēm, kas ir būtiska visiem cilvēkiem, tai skaitā vecākai paaudzei un  vecākiem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ielu infrastruktūru ir būtisks apgaismojums - lai būtu droši pārvietoties gan no ērtības un drošības kopumā, gan specifiski sievietēm, jo mazina riskus vardarbībai pret sievietēm, aizskaršanai/apdraudējumam.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24-TA-1502</w:t>
    </w:r>
    <w:r>
      <w:br/>
    </w:r>
    <w:r w:rsidR="00000000" w:rsidRPr="00000000" w:rsidDel="00000000">
      <w:rPr>
        <w:rtl w:val="0"/>
      </w:rPr>
      <w:t xml:space="preserve">28.11.2024. 14.20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24-TA-1502</w:t>
    </w:r>
    <w:r>
      <w:br/>
    </w:r>
    <w:r w:rsidR="00000000" w:rsidRPr="00000000" w:rsidDel="00000000">
      <w:rPr>
        <w:rtl w:val="0"/>
      </w:rPr>
      <w:t xml:space="preserve">28.11.2024. 14.20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Izziņa_24-TA-1502.docx</dc:title>
</cp:coreProperties>
</file>

<file path=docProps/custom.xml><?xml version="1.0" encoding="utf-8"?>
<Properties xmlns="http://schemas.openxmlformats.org/officeDocument/2006/custom-properties" xmlns:vt="http://schemas.openxmlformats.org/officeDocument/2006/docPropsVTypes"/>
</file>