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11. februāra noteikumos Nr. 103 "Noteikumi par atbalsta programmu viena dzīvokļa dzīvojamo māju un divu dzīvokļu dzīvojamo māju atjaunošanai un energoefektivitātes paaugstināšanai"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1.1. sadaļu ar projekta izstrādes nepieciešamības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1.1. sadaļu ar projekta izstrādes nepieciešamības aprakstu.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skaidrot/sniegt pamatojumu izdevumu pārvaldības maksas segšanai attiecībai pret izsniegto grantu un tehniskās palīdzības apjomu (proti, proporcija sastāda 20%, kas norāda uz varbūtību, ka izdevumi pārvaldības maksas segšanai būtiski pārsniedz pārvaldības maksas apmēru, kas tiek piemērots citās atbalsta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atkārtoti vērš uzmanību, ka šajā programmā tiek apstrādāts liels projektu skaits. Kā novērtējumā minēts - plānots, ka pozitīvi būs vairāk kā 1600 projekti. Kā arī vēl aptuveni 600 projekti ir izvērtēti un noraidīti, vai klienti ir atteikušies no projektu īstenošanas. Šāda, vairāk kā 2000 projektu, apstrāde prasa ievērojamus resursus. Papildus vēršam uzmanības, ka šī ir vienīgā Altum programma ar 5 gadu pēcuzraudzības periodu, kas arī rada papildu administratīvos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matemātiski precizēt programmas rādītāju novērtējuma projekta 3.1.2. punktā norādīto sagaidāmo paredzamo citu risku zaudējumu aplēses summu, proti, 0,55 % no programmas ietvaros izsniegto riska darījumu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aprēķins ir korekts. 0.55 % tiek aprēķināti no izsniegto riska darījuma apmēra, kas ir 3 606 435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riska darījuma apmērs ir mazāks par izsniegto darījumu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sabiedrībai "Altum" nav saistošas ES Kapitāla prasību direktīvā Nr.2013/36/ES (CRD IV) un Kapitāla prasību regulā Nr.575/2013 (CRR 575/2013) noteiktās prasības, lūdzam programmas rādītāju novērtējuma projekta 3.1.2. punktā atsaukties uz šīm prasībām kā etalona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3.1.2. sadaļas teikumā:“Sagaidāmie citu risku zaudējumi aplēsti pamatojoties uz ES kapitāla pietiekamības direktīvā</w:t>
            </w:r>
            <w:r w:rsidR="00000000" w:rsidRPr="00000000" w:rsidDel="00000000">
              <w:rPr>
                <w:vertAlign w:val="superscript"/>
                <w:rtl w:val="0"/>
              </w:rPr>
              <w:t xml:space="preserve">4</w:t>
            </w:r>
            <w:r w:rsidR="00000000" w:rsidRPr="00000000" w:rsidDel="00000000">
              <w:rPr>
                <w:rtl w:val="0"/>
              </w:rPr>
              <w:t xml:space="preserve">  finanšu institūcijām noteikto par kapitāla pietiekamības nodrošināšanu visu finanšu institūciju piemītošo risku segšanai, kā arī uz pieņēmumu pamata, kas ir balstīti uz vēsturiskiem datiem par finanšu institūcijas darbību, ieviešot valsts atbalsta programmas.” ir zemsvītras atsauce Nr.4.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zemsvītras atsaucē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“ES Kapitāla Prasību Direktīva Nr.2013/36/ES (CRD IV) un Kapitāla Prasību Regula Nr.575/2013 (CRR 575/2013)”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papildus dokumentu sadaļā -  Altum sagatavoto rādītāju novērtējumu, saskaņā ar Attīstības finanšu institūcijas likuma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23-TA-2281</w:t>
    </w:r>
    <w:r>
      <w:br/>
    </w:r>
    <w:r w:rsidR="00000000" w:rsidRPr="00000000" w:rsidDel="00000000">
      <w:rPr>
        <w:rtl w:val="0"/>
      </w:rPr>
      <w:t xml:space="preserve">10.10.2023. 19.04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23-TA-2281</w:t>
    </w:r>
    <w:r>
      <w:br/>
    </w:r>
    <w:r w:rsidR="00000000" w:rsidRPr="00000000" w:rsidDel="00000000">
      <w:rPr>
        <w:rtl w:val="0"/>
      </w:rPr>
      <w:t xml:space="preserve">10.10.2023. 19.04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Izziņa_23-TA-2281.docx</dc:title>
</cp:coreProperties>
</file>

<file path=docProps/custom.xml><?xml version="1.0" encoding="utf-8"?>
<Properties xmlns="http://schemas.openxmlformats.org/officeDocument/2006/custom-properties" xmlns:vt="http://schemas.openxmlformats.org/officeDocument/2006/docPropsVTypes"/>
</file>