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22-TA-917: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2020. gada 14. jūlija noteikumos Nr. 458 "Noteikumi par kapitāla ieguldījumiem komersantos, kuru darbību ietekmējusi Covid-19 izplatība"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izteikt 26.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Eiropas Komisijas 2020. gada 19. marta paziņojuma "Pagaidu regulējums valsts atbalsta pasākumiem, ar ko atbalsta ekonomiku pašreizējā Covid-19 uzliesmojuma situācijā" (C(2020)1863) (turpmāk - paziņojums) 27bis. punkta izriet, ka aizdevumu summa nepārsniedz abus turpmāk minētos maksimālos apjomus: 1) divas trešdaļas no saņēmēja gada algu izdevumiem lieliem uzņēmumiem un saņēmēja gada algu izdevumus maziem un vidējiem uzņēmumiem (MVU) un 2) 8,4 % no saņēmēja kopējā apgrozījuma 2019. gadā lieliem uzņēmumiem un 12,5 % no saņēmēja kopējā apgrozījuma 2019. gadā MVU, uz ko norādīts arī noteikumu projekta anotācijā. Attiecīgi nav saprotams pamatojums noteikumu projekta 1.1. apakšpunktā kā vienu no priekšnoteikumiem izvirzīts to, ka nekonvertējamo aizdevumu summa, kas tiek izsniegta atbilstoši šo noteikumu 16.3. un 16.4. apakšpunktā minētajiem finanšu instrumentiem, 2019. gadā vai pēdējā pieejamā gadā nepārsniedz </w:t>
            </w:r>
            <w:r w:rsidR="00000000" w:rsidRPr="00000000" w:rsidDel="00000000">
              <w:rPr>
                <w:u w:val="single"/>
                <w:rtl w:val="0"/>
              </w:rPr>
              <w:t xml:space="preserve">divas trešdaļas no</w:t>
            </w:r>
            <w:r w:rsidR="00000000" w:rsidRPr="00000000" w:rsidDel="00000000">
              <w:rPr>
                <w:rtl w:val="0"/>
              </w:rPr>
              <w:t xml:space="preserve"> lielā komersanta vai </w:t>
            </w:r>
            <w:r w:rsidR="00000000" w:rsidRPr="00000000" w:rsidDel="00000000">
              <w:rPr>
                <w:u w:val="single"/>
                <w:rtl w:val="0"/>
              </w:rPr>
              <w:t xml:space="preserve">vidējā komersanta</w:t>
            </w:r>
            <w:r w:rsidR="00000000" w:rsidRPr="00000000" w:rsidDel="00000000">
              <w:rPr>
                <w:rtl w:val="0"/>
              </w:rPr>
              <w:t xml:space="preserve"> (atbilstoši Komisijas regulas Nr. 651/2014 I pielikuma 2. pantā, Komisijas regulas Nr. 702/2014 I pielikuma 2. pantā vai Komisijas regulas Nr. 1388/2014 I pielikuma 2. pantā noteiktajai definīcijai) </w:t>
            </w:r>
            <w:r w:rsidR="00000000" w:rsidRPr="00000000" w:rsidDel="00000000">
              <w:rPr>
                <w:u w:val="single"/>
                <w:rtl w:val="0"/>
              </w:rPr>
              <w:t xml:space="preserve">gada algu izdevumiem (ieskaitot sociālās iemaksas)</w:t>
            </w:r>
            <w:r w:rsidR="00000000" w:rsidRPr="00000000" w:rsidDel="00000000">
              <w:rPr>
                <w:rtl w:val="0"/>
              </w:rPr>
              <w:t xml:space="preserve">, t.i., kādēļ attiecībā uz vidējiem komersantiem netiek attiecināts nosacījums par gada algu izdevumiem. Attiecīgi lūdzam sniegt atbilstošu skaidrojumu par minēto noteikumu projekta anotācijā. Nepieciešamības gadījumā lūdzam redakcionāli precizēt noteikumu projekta 1.1.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attiecībā par algu izdevumiem ierobežojums ir 2/3 lielajiem komersantiem un gada algu izdevumi vidējiem komersantiem. Ņemot vērā minēto, punkt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nekonvertējamo aizdevumu summa, kas tiek izsniegta atbilstoši šo noteikumu 16.3. un 16.4. apakšpunktā minētajiem finanšu instrumentiem, 2019. gadā vai pēdējā pieejamā gadā nepārsniedz divas trešdaļas no lielā komersanta </w:t>
            </w:r>
            <w:r w:rsidR="00000000" w:rsidRPr="00000000" w:rsidDel="00000000">
              <w:rPr>
                <w:b w:val="1"/>
                <w:rtl w:val="0"/>
              </w:rPr>
              <w:t xml:space="preserve">gada algu izdevumiem (ieskaitot sociālās iemaksas) un </w:t>
            </w:r>
            <w:r w:rsidR="00000000" w:rsidRPr="00000000" w:rsidDel="00000000">
              <w:rPr>
                <w:rtl w:val="0"/>
              </w:rPr>
              <w:t xml:space="preserve">vidējā komersanta (atbilstoši Komisijas regulas Nr. 651/2014 I pielikuma 2. pantā, Komisijas regulas Nr. 702/2014 I pielikuma 2. pantā vai Komisijas regulas Nr. 1388/2014 I pielikuma 2. pantā noteiktajai definīcijai) gada algu izdevumiem (ieskaitot sociālās iemaksas) un 8,4 % lielā komersanta un 12,5 % vidējā komersanta kopējā apgrozījuma 2019. gadā, tad vienlaikus tiek izpildītas šādas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izstrādāts, lai precīzi un korekti ieviestu paziņojuma 27bis. punkta (noteikumu projekta anotācijā nekorekti norādīts uz 27.a punktu) prasības, lūdzam saskaņā ar Ministru kabineta 2021. gada 7. septembra noteikumu Nr. 617 "Tiesību akta projekta sākotnējās ietekmes izvērtēšanas kārtība" (turpmāk - noteikumi Nr. 617) 9.19. apakšpunktu atbilstoši papildināt noteikumu projekta anotācijas 5.3. sadaļu "Cita informācija", sniedzot atbilstošu skaidrojumu par minētā paziņojuma prasību, kuras ieviestas Ministru kabineta 2020. gada 14. jūlija noteikumu Nr. 458 "Noteikumi par kapitāla ieguldījumiem komersantos, kuru darbību ietekmējusi Covid-19 izplatība" (turpmāk - noteikumi Nr. 458) 26. punktā (t.i., paziņojuma 27bis., 47. punkta u.c.) ieviešanu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V sadaļa ir papildināta.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Pagaidu regulējuma latviskajā versijā ir norādīts 27a punkts, taču angļu valodas versijā ir 27bis, tāpēc bis netiek lietots.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617 9.1. apakšpunktu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noteikumu projekta anotācijā sniegt informāciju par visu noteikumu projektā paredzēto būtisko izmaiņu noteikumos Nr. 458 nepieciešamību un mērķi. Norādām, ka šobrīd nav sniegts skaidrojums par norādes uz sociāliem izdevumiem aizstāšanu ar sociālām iemaksām, ko cita starpā paredz noteikumu projekta 1.1.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noteikumu projekta anotācijā ietvertās informācijas korektam un pilnīgam atspoguļojumam: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 anotācijā sniegto informāciju, no kuras izriet, ka noteikumu Nr. 458 26. punkts šobrīd paredz to, ka nekonvertējamo aizdevumu summa 2019. gadā vai pēdējā pieejamā gadā nepārsniedz divas trešdaļas no lielā komersanta vai vidējā komersanta gada algu izdevumiem (ieskaitot sociālās iemaksas) vai 8,4 % lielā komersanta vai 12,5 % vidējā komersanta kopējā apgrozījuma 2019. gadā, ņemot vērā, ka minētā informācija neatbilst noteikumu Nr. 458 26. punkta faktiskajai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anotācijā sniegto skaidrojumu, norādot (identificējot) dokumentu, no kura izriet Eiropas Komisijas norādījumi, ņemot vērā kurus nepieciešams veikt grozījumus noteikumos Nr. 458, un skaidrojot attiecīgo norādījumu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anotācijā sniegts skaidrojums par tehniskajiem grozījumiem 26. punktā (mainot saikļus no “vai” uz “un”, ņemot vērā EK norādījumu). Vienlaikus vēršu uzmanību, ka pārējās izmaiņas Noteikumu 26. punktā ir apstiprinātas Ministru kabineta sēdē 2022. gada 22. februārī (Nr. 9 32. § 21-TA-1446).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anotācija papildināta ar skaidrojumu, ka EK neformāli norādījusi uz vajadzību par tehniskiem grozījumiem, kad jau MK apstiprinātie grozījumi MKN 458 tika skaņoti SANI2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izteikt 26.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noteikumu projekta 1.1. apakšpunktu, minētās tiesību normas priekšnoteikumos terminu "lielais komersants" un "vidējais komersants"  konsekventi savstarpēji atdalot ar saikli "vai". Norādām, ka saiklis „un” ir kumulatīvs nosacījums, kura lietošanas gadījumā ir jāiestājas visiem noteikumu projektā minētajiem priekšnosacījumiem. Savukārt saiklis „vai” ir alternatīvs nosacījums, kura lietošana nosaka tikai viena priekšnosacījuma iestāšanās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aizpildīt anotācijas 5.4. 1. tabulu ar tiesību akta projekta atbilstības izvērtējumu pret Eiropas Komisijas 2020. gada 19. marta paziņojumu "Pagaidu regulējums valsts atbalsta pasākumiem, ar ko atbalsta ekonomiku pašreizējā Covid-19 uzliesmojuma situācijā" (C(2020)1863).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22-TA-917</w:t>
    </w:r>
    <w:r>
      <w:br/>
    </w:r>
    <w:r w:rsidR="00000000" w:rsidRPr="00000000" w:rsidDel="00000000">
      <w:rPr>
        <w:rtl w:val="0"/>
      </w:rPr>
      <w:t xml:space="preserve">04.04.2022. 12.04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22-TA-917</w:t>
    </w:r>
    <w:r>
      <w:br/>
    </w:r>
    <w:r w:rsidR="00000000" w:rsidRPr="00000000" w:rsidDel="00000000">
      <w:rPr>
        <w:rtl w:val="0"/>
      </w:rPr>
      <w:t xml:space="preserve">04.04.2022. 12.04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Izziņa_22-TA-917.docx</dc:title>
</cp:coreProperties>
</file>

<file path=docProps/custom.xml><?xml version="1.0" encoding="utf-8"?>
<Properties xmlns="http://schemas.openxmlformats.org/officeDocument/2006/custom-properties" xmlns:vt="http://schemas.openxmlformats.org/officeDocument/2006/docPropsVTypes"/>
</file>