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24-TA-2765: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Eiropas Lauksaimniecības fonda lauku attīstībai intervencē "Mākslīgo mitrāju izveide"</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Eiropas Lauksaimniecības fonda lauku attīstībai intervencē "Mākslīgo mitrāju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noteikumu projektā “Atbalsta piešķiršanas kārtība Eiropas Lauksaimniecības fonda lauku attīstībai intervencē "Mākslīgo mitrāju izveide"” veiktajiem labojumiem un argumentāciju, kas apkopota pievienotajā  “Viedokļu pārskats_24-TA-2765” iebilstam un nesaskaņojam izstrādāto noteikumu projektu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Kopumā atbalstām bridēju vai niedrāju putnu dzīvotņu elementu iekļaušanas nosacījumus, kas ietverti noteikumu projekta  24.1.1. un 24.1.2. apakšpunktos. Tomēr nebūtu pieļaujama situācija, ka mitrāja izbūves vajadzībām tiek iznīcinātas ar dabisku vai daļēji dabisku veģetāciju klātas ieplakas lauku ainavā. Daudzviet industriālās lauksaimniecības ainavā šādas ieplakās ir vienīgās, kas var kalpot par dzīvotni ar lauku ainavu saistītām sugām. Jau šobrīd ir vērojama lauku bioloģiskās daudzveidības noplicināšana. No šādā aspekta vērtējot, nebūtu pieļaujama esošu neapstrādāto ieplaku iznīcināšana. Tās jau šobrīd spēj sniegt pozitīvu pienesumu bioloģiskās daudzveidības uzturēšanai. Savukārt, ar mitrāju izveidi saistītie bioloģiskās daudzveidības ieguvumi šobrīd ir tikai teorētiski un ne vienmēr varēs realizēties. Arī no finanšu viedokļa uzskatām, ka tik ievērojamu līdzekļu izlietojumam būtu jānes papildus ieguvumi, nevis jāiznicina vai daļēji jāaizstāj jau esošās vērtības. Viedokļu pārskatā sniegtā atsauce uz KLP SP: </w:t>
            </w:r>
            <w:r w:rsidR="00000000" w:rsidRPr="00000000" w:rsidDel="00000000">
              <w:rPr>
                <w:i w:val="1"/>
                <w:rtl w:val="0"/>
              </w:rPr>
              <w:t xml:space="preserve">“Ar mākslīgi veidotu mitrāju palīdzību iespējams …. radot neatsveramu un būtisku pienesumu bioloģiskās daudzveidības nodrošināšanai…”</w:t>
            </w:r>
            <w:r w:rsidR="00000000" w:rsidRPr="00000000" w:rsidDel="00000000">
              <w:rPr>
                <w:rtl w:val="0"/>
              </w:rPr>
              <w:t xml:space="preserve"> ir uztverama kā pārspīlējuma epitetu nepamatota lietošana sabiedrības un Eiropas Komisijas maldināšanai. Šāda mēroga un līmeņa ietekmes būtu konstatējamas tikai un vienīgi balstoties empīriskos datos. Tomēr noteikumu projekts šī brīža redakcijā neparedz veikt šādu analīzi. Iespējamais risinājums varētu būt mitrāju izbūves vietas sākotnēja eksperta (ornitologa, biotopu eksperta u.c.) veikta izvērtēšana un atzinums, lai izvairītos no esošu dabas vērtību iznīcināšanas. Papildus noteikumu projektā būtu jāiestrādā kritēriji un metrikas, lai pārliecinātos, ka zālāju bridējputnu un niedrāju putnu pozitīvas ietekmes mērķi tiešām tiks sasniegti.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daļēji</w:t>
            </w:r>
            <w:r w:rsidR="00000000" w:rsidRPr="00000000" w:rsidDel="00000000">
              <w:rPr>
                <w:rtl w:val="0"/>
              </w:rPr>
              <w:t xml:space="preserve"> - svītroti šādi projekta (5.red.) apakšpunkti (24.4.1. un 24.5.1.):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24.4.1. izbūvi ieteicams īstenot dabiskos reljefa pazeminājumos, kuros novērojami regulāri vai periodiski pārmitri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24.5.1. izbūvi ieteicams īstenot dabiskos reljefa pazeminājumos, uz kuriem ir iespējams novadīt lietus un kūstošā sniega ūdeni.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Eiropas Lauksaimniecības fonda lauku attīstībai intervencē "Mākslīgo mitrāju izveide"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piešķir, administrē un uzrauga valsts un Eiropas Savienības atbalstu atklātu projektu iesniegumu konkursa veidā 2023.–2027. gada plānošanas periodā Eiropas Lauksaimniecības fonda lauku attīstībai neienesīgo ieguldījumu darbību īstenošanai atbilstoši: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100. punktam, kas noteic, ka projekta pirmajā punktā raksta (pārraksta) likumā noteikto pilnvarojumu Ministru kabinetam, lūdzam izvērtēt un precizēt projekta 1. punktu. Kā arī iesakām projekta 1. punktā ietvertās atsauces uz regulām rakstīt citā projekta punktā, to iesākot ar vārdiem "Atbalstu sniedz saskaņā ar (..)" un tālāk uzskaitīt attiecīgās regulas vai tamlīdzīgi.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 punkta redakcija precizēta, to vienlaikus sadalot divos atsevišķos punktos.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Atbalstu sniedz saskaņā 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Mākslīgo mitrāju eksperta atzinumu sniedzēju Lauku atbalsta dienests izraugās šādā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projekta 14. un 16. punktā ietvertā regulējuma atbilstību Lauksaimniecības un lauku attīstības likuma 5. panta ceturtajā un septītajā daļā Ministru kabinetam dotajam pilnvarojumam. Lauksaimniecības un lauku attīstības likuma 5. panta ceturtā un septītā daļa paredz, ka Ministru kabinets nosaka kārtību, kādā tiek piešķirts, administrēts un uzraudzīts valsts un Eiropas Savienības atbalsts lauksaimniecībai, un kārtību, kādā tiek piešķirts, administrēts un uzraudzīts valsts un Eiropas Savienības atbalsts lauku un zivsaimniecības attīstībai. No minētā pilnvarojuma izriet, ka Ministru kabinets ir tiesīgs noteikt konkrētā atbalsta piešķiršanas, administrēšanas un uzraudzības kārtību, savukārt projekta 14. un 16. punkts paredz kārtību, kādā izraugās atzinuma sniedzēju, apstiprina atzinuma sniedzēju sarakstu un izslēdz no saraksta atzinuma sniedzēju. Vienlaikus lūdzam norādīt, vai atzinuma sniedzēju atlase un attiecīgi to izslēgšana no atzinuma sniedzēju saraksta notiks administratīvā procesa kārtībā. Vēršam uzmanību uz to, ka Administratīvā procesa likuma 11. pants paredz, ka privātpersonai nelabvēlīgu administratīvo aktu izdot var uz Satversmes, likuma, kā arī uz starptautisko tiesību normas pamata. Ministru kabineta noteikumi var būt par pamatu šādam administratīvajam aktam tikai tad, ja Satversmē, likumā vai starptautisko tiesību normā tieši vai netieši ir ietverts pilnvarojums Ministru kabinetam, izdodot noteikumus, tajos paredzēt šādus administratīvos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tā kā atbalsta administrējošās iestādes speciālistiem nav atbilstoša kvalifikācija, lai izvērtētu izbūvējamā mākslīgā mitrāja konstrukcijas, virsmas platības, galvenās dimensijas un novietojumu attiecībā pret mitrāju apkalpojošo meliorācijas sistēmu un lietusūdens novadīšanas sistēmu, tad ir nepieciešams "atrast" un publiskot šādas kompetentās personas. Līdz ar to projekta 14. punktā iekļautās kompetences ir saglabājamas, jo šādu kompetenču noteikšana ietilpst esošajā deleģējumā, līdzīgi kā tas ir šajā spēkā esošajā normatīvā: https://likumi.lv/doc.php?id=274938 (skat. nodaļu "III. Nosacījumi konsultāciju pakalpojuma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Lai noteiktu būvkomersantu, kam ir tiesības izsniegt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606 "Ministru kabineta kārtības rullis" 55. punktam atbildīgā ministrija, novirzot projektu saskaņošanai, nosaka atzinuma sniegšanai steidzamības kārtību (trīs darbdienas).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Steidzamības pamatojums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apakšsadaļas tabulā ietverto Eiropas Savienības tiesību normu ieviešanas atspoguļojumu un nodrošināt, ka tas ir korekts. Projekta izstrādes procesā šķietami ir mainījusies projekta vienību numerācija un daļa tabulā ietverto skaidrojumu neatbilst no projekta izrietošajai faktiskajai situācijai. Piemēram, atbilstoši projektam tā 27. nevis 28. punkts ievieš Regulas 2021/2115 73. panta 4. punkta "a" apakšpunkta "i"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pilnībā aizpildīt 5.4. apakšsadaļas 1. tabulas "C" un "D" kolonnas. Savukārt, skaidrojot to, kā ir izmantota Eiropas Savienības tiesību aktā paredzētā rīcības brīvība dalībvalstij pārņemt vai ieviest noteiktas tiesību akta normas, lūdzam nodrošināt korektus skaidrojumus. Vēršam uzmanību, ka, piemēram, Regulas 2021/2115 73. panta 3. punkts paredz dalībvalstij pienākumu izveidot to investīciju un izdevumu kategoriju sarakstu, kas ir neattiecināmas, tajā iekļaujot attiecīgos regulas normā norādītos elementus, nevis rīcības brīvību dalībvalstij.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piešķiršanas kārtība Eiropas Lauksaimniecības fonda lauku attīstībai intervencē "Mākslīgo mitrāju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(ZSA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paplašināt noteikumu projekta 19.punktu, nosakot, ka ūdens paraugus var ņemt arī aprīlī un septembrī, attiecīgi paredzot iesēju intervencē paredzēto pasākumu sākt realizēt arī 2025.gadā.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punkta 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Ūdens paraugu ņem tajā meliorācijas sistēmas posmā, kurā paredzēta mākslīgā mitrāja būvniecība, ar ne mazāk kā 14 dienu intervālu laikposmā no 1. septembra līdz 30. aprīlim un ne agrāk kā 12 mēnešu pirms atbalsta pieprasīšanas.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Eiropas Lauksaimniecības fonda lauku attīstībai intervencē "Mākslīgo mitrāju izveide"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piešķiršanas kārtība Eiropas Lauksaimniecības fonda lauku attīstībai intervencē "Mākslīgo mitrāju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projekta nosaukumu, ņemot vērā, ka tas paredz "atbalsta piešķiršanas kārtību", bet projekta 1. punktā noteikts, ka noteikumi nosaka kārtību attiecībā uz "valsts un Eiropas Savienības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Eiropas Savienības atbalsta piešķiršanas kārtība Eiropas Lauksaimniecības fonda lauku attīstībai intervencē "Mākslīgo mitrāju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Eiropas Lauksaimniecības fonda lauku attīstībai intervencē "Mākslīgo mitrāju izveide"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un Eiropas Savienības atbalstu neienesīgo investīciju intervencē "Mākslīgo mitrāju izveide" (intervences kods – LA4.5.) piešķir saskaņā ar regulas </w:t>
            </w:r>
            <w:r w:rsidR="00000000" w:rsidRPr="00000000" w:rsidDel="00000000">
              <w:rPr>
                <w:rtl w:val="0"/>
              </w:rPr>
              <w:t xml:space="preserve">2021/2115</w:t>
            </w:r>
            <w:r w:rsidR="00000000" w:rsidRPr="00000000" w:rsidDel="00000000">
              <w:rPr>
                <w:rtl w:val="0"/>
              </w:rPr>
              <w:t xml:space="preserve"> 73. panta 2. punktu un 4. punkta "c" apakšpunkta "i" apakšpunktu. Mākslīgā mitrāja izveide ir ūdens kvalitātes uzlabošanas metode, kuras pamatā ir fizikāli, ķīmiski un bioloģiski procesi un kura paredzēta, lai aizturētu lauksaimnieciskās darbības radīto ūdens piesārņojumu un samazinātu piesārņojuma slodzi uz ūdenstecēm.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projektu, ņemot vērā, ka normatīvajā aktā ietver tiesību normas, t.i., adresātiem saistošus uzvedības noteikumus. Normatīvajā aktā neietver deklaratīvas normas, skaidrojumus vai informāciju rakstura tekstu - šādi skaidrojumi ietverami normatīvā akta anotācijā. Piemēram, 2. punkta otrais teikums ir skaidrojums, informatīva rakstura teksts, jo skaidro mākslīgā mitrāja izveides izpratni. Tāpat, ņemot vērā, ka 2. punkta pirmais teikums nosaka tiesību normas, saskaņā ar kurām piešķir valsts un Eiropas Savienības atbalstu, šī punkta otrais teikums ir neiederīgs konkrētajā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Otrais teikums svītrots, to attiecīgi pārnesot uz anotāciju.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un Eiropas Savienības atbalstu neienesīgo investīciju intervencē "Mākslīgo mitrāju izveide" piešķir saskaņā ar regulas </w:t>
            </w:r>
            <w:r w:rsidR="00000000" w:rsidRPr="00000000" w:rsidDel="00000000">
              <w:rPr>
                <w:rtl w:val="0"/>
              </w:rPr>
              <w:t xml:space="preserve">2021/2115</w:t>
            </w:r>
            <w:r w:rsidR="00000000" w:rsidRPr="00000000" w:rsidDel="00000000">
              <w:rPr>
                <w:rtl w:val="0"/>
              </w:rPr>
              <w:t xml:space="preserve"> 6. panta 1. punkta "e" un "f" apakšpunktu, 73. panta 2. punktu un 4. punkta "c" apakšpunkta "i" apakšpunktu.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 vai meliorācijas sistēma, uz kuras plānots īstenot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intervenci, ir atbalsta pretendenta īpašumā, tiesiskajā valdījumā vai nomā. Ja tā tiek nomāta, līgumā, kas noslēgts vismaz uz projekta īstenošanas un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minēto pēcuzraudzības laiku, paredzēta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minētās intervences īstenošana un mākslīgā mitrāja izbūve.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pilnīgu projekta redakciju, atspoguļojot visus no tās izrietošos aspektus. Vēršam uzmanību, ka tiesību normu adresātam netiek nodrošināta izpratne, piemēram, par to kā atbalsta pretendentam jāapliecina Lauku atbalsta dienestam atbilstība projekta 11. punktam. Proti, projekta vienībās nav minēts, kā atbalsta pretendents apliecina projekta 11. punktā noteikto prasību izpildi. Attiecīgi ir izvērtējams, vai, piemēram, projekta 33. punktā, uzskaitot iesniedzamos dokumentus, nav ietverama prasība iesniegt arī informāciju, dokumentus, kas apliecina projekta 11. punkta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papildināta ar jaunu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kas apliecina šo noteikumu 12. punktā minēto prasību izpildi attiecībā par zemes vai meliorācijas sistēmas statusu. Šos dokumentus neiesniedz, ja šo faktu apliecina ieraksts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 vai meliorācijas sistēma, uz kuras plānots īstenot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intervenci, ir atbalsta pretendenta īpašumā, tiesiskajā valdījumā vai nomā. Ja tā tiek nomāta, līgumā, kas noslēgts vismaz uz projekta īstenošanas un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minēto pēcuzraudzības laiku, paredzēta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intervences īstenošana un mākslīgā mitrāja izbūve.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lauksaimnieks – fiziska vai juridiska persona, kas nodarbojas ar lauksaimniecisko darbību un saņem tiešos maksājumus atbilstoši normatīvajiem aktiem par tiešo maksājumu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12.1. apakšpunktu un izvērtēt tajā ietverto atsauci uz "</w:t>
            </w:r>
            <w:r w:rsidR="00000000" w:rsidRPr="00000000" w:rsidDel="00000000">
              <w:rPr>
                <w:i w:val="1"/>
                <w:rtl w:val="0"/>
              </w:rPr>
              <w:t xml:space="preserve">normatīvajiem aktiem par tiešo maksājumu piešķiršanu</w:t>
            </w:r>
            <w:r w:rsidR="00000000" w:rsidRPr="00000000" w:rsidDel="00000000">
              <w:rPr>
                <w:rtl w:val="0"/>
              </w:rPr>
              <w:t xml:space="preserve">" un to, vai tā nav precizējama (konkretizējama), norādot "</w:t>
            </w:r>
            <w:r w:rsidR="00000000" w:rsidRPr="00000000" w:rsidDel="00000000">
              <w:rPr>
                <w:i w:val="1"/>
                <w:rtl w:val="0"/>
              </w:rPr>
              <w:t xml:space="preserve">normatīvajiem aktiem par tiešo maksājumu piešķiršanas kārtība lauksaimniekiem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termina "lauksaimnieks" skaidrošanai, šo noteikumu kontekstā, kas ir neienesīgas investīcijas, ir tieši šāda pieeja, lai paplašinātu atbalsta pretendentu loku, salīdzinot ar tiem atbalsta pretendentiem, kas piesakās uz ienesīgām investīcijām, piemēram, kā tas ir noteikts 2024. gada 21. maija Ministru kabineta noteikumu Nr. 303 "Valsts un Eiropas Savienības atbalsta piešķiršanas kārtība atklātu projektu konkursa veidā Eiropas lauksaimniecības fonda lauku attīstībai investīcijām materiālajos aktīvos 2023.–2027. gada plānošanas periodā" 3.2. apakšpunktā, kurā ir iekļauta prasība par ieņēmumiem no lauksaimniecības produktu pārdošanas nodrošināšanas.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lauksaimnieks – fiziska vai juridiska persona, kas veic lauksaimniecisko darbību un saņem tiešos maksājumus atbilstoši normatīvajiem aktiem par tiešo maksājumu piešķiršanas kārtību lauksaimniekiem;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Mākslīgo mitrāju eksperta atzinumu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par izbūvējamā mākslīgā mitrāja konstrukciju, virsmas platību, galvenajām dimensijām un novietojumu attiecībā pret mitrāju apkalpojošo meliorācijas sistēmu un lietusūdens novadīšanas sistēmu, pamatojoties uz attiecīgā objekta ūdens paraugu testēšanas pārskatu datiem, kas liecina par sliktu ūdens kvalitāti un nepieciešamību to uzlabot, sagatavo būvkomersants, kas nodarbina atbilstošas kvalifikācijas mākslīgā mitrāja ekspertu, kuram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projektā lietoto terminu skaidrojumi nav ietverami pašā projektā, nevis tā anotācijā, kā arī ievērot vienotu pieeju attiecībā uz visiem terminiem, tādā veidā tiesību normu adresātiem atvieglojot projekta uztveramību. Vēršam uzmanību, piemēram, uz projekta 13. punktā lietoto terminu "mākslīgā mitrāja eksperta atzinums", kura skaidrojums atrodams tikai anotācijas 8.lp. Savukārt, piemēram, termina "lauksaimnieks" izpratne tiek skaidrota projekta 12.1.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precizēta, svītrojot vārdu "uzņēmums", dažādos tā locījumos.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Atzinumu par izbūvējamās infrastruktūras atbilstību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intervences prasībām (</w:t>
            </w:r>
            <w:r w:rsidR="00000000" w:rsidRPr="00000000" w:rsidDel="00000000">
              <w:rPr>
                <w:rtl w:val="0"/>
              </w:rPr>
              <w:t xml:space="preserve">​</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pielikums</w:t>
            </w:r>
            <w:r w:rsidR="00000000" w:rsidRPr="00000000" w:rsidDel="00000000">
              <w:rPr>
                <w:rtl w:val="0"/>
              </w:rPr>
              <w:t xml:space="preserve">) atbalsta pretendentam izsniedz būvkomersants, kas nodarbina atbilstošas kvalifikācijas speciālistu, kuram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uzņēmumā nodarbināto mākslīgo mitrāju ekspertu sarakstu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termina "uzņēmums" lietojumu projektā un tā pielikumos. Norādām, ka saskaņā ar Komerclikuma 18. pantu termins „uzņēmums” apzīmē organizatoriski saimniecisku vienību un nevis komercdarbības vai saimnieciskās darbības subjektu. Ņemot vērā minēto, lūdzam izvērtēt un nepieciešamības gadījumā precizēt projektu, termina „uzņēmums” vietā izmantojot, piemēram, terminu „komersants”, kas jau tiek lietots atsevišķos projekta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precizēta, svītrojot vārdu "uzņēmums", dažādos tā locījumos.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15.2.2. būvkomersanta nodarbināto atzinuma sagatavotāju sarakstu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Lauku atbalsta dienests divu nedēļu laikā pēc šo noteikumu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minēto dokumentu saņemšanas izvērtē un apstiprina šo noteikumu </w:t>
            </w:r>
            <w:r w:rsidR="00000000" w:rsidRPr="00000000" w:rsidDel="00000000">
              <w:rPr>
                <w:rtl w:val="0"/>
              </w:rPr>
              <w:t xml:space="preserve">14. </w:t>
            </w:r>
            <w:r w:rsidR="00000000" w:rsidRPr="00000000" w:rsidDel="00000000">
              <w:rPr>
                <w:rtl w:val="0"/>
              </w:rPr>
              <w:t xml:space="preserve">punkt</w:t>
            </w:r>
            <w:r w:rsidR="00000000" w:rsidRPr="00000000" w:rsidDel="00000000">
              <w:rPr>
                <w:rtl w:val="0"/>
              </w:rPr>
              <w:t xml:space="preserve">ā minēto atzinumu sniedzēju un mākslīgo mitrāju ekspertu sarakstu, ko publicē savā tīmekļvietnē, norādot atzinuma sniedzēja nosaukumu, juridisko adresi, tālruņa numuru un elektroniskā pasta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nosakot informācijas par atzinumu sniedzēju un mākslīgo mitrāju ekspertu sarakstu publicēšanas termiņu, anotācijā sniedzot skaidrojumu, kas pamatotu izvēlēto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Lauku atbalsta dienests viena mēneša laikā pēc šo noteikumu </w:t>
            </w:r>
            <w:r w:rsidR="00000000" w:rsidRPr="00000000" w:rsidDel="00000000">
              <w:rPr>
                <w:rtl w:val="0"/>
              </w:rPr>
              <w:t xml:space="preserve">​15.2.1.</w:t>
            </w:r>
            <w:r w:rsidR="00000000" w:rsidRPr="00000000" w:rsidDel="00000000">
              <w:rPr>
                <w:rtl w:val="0"/>
              </w:rPr>
              <w:t xml:space="preserve">, </w:t>
            </w:r>
            <w:r w:rsidR="00000000" w:rsidRPr="00000000" w:rsidDel="00000000">
              <w:rPr>
                <w:rtl w:val="0"/>
              </w:rPr>
              <w:t xml:space="preserve">​15.2.2.</w:t>
            </w:r>
            <w:r w:rsidR="00000000" w:rsidRPr="00000000" w:rsidDel="00000000">
              <w:rPr>
                <w:rtl w:val="0"/>
              </w:rPr>
              <w:t xml:space="preserve"> un </w:t>
            </w:r>
            <w:r w:rsidR="00000000" w:rsidRPr="00000000" w:rsidDel="00000000">
              <w:rPr>
                <w:rtl w:val="0"/>
              </w:rPr>
              <w:t xml:space="preserve">​15.2.3. </w:t>
            </w:r>
            <w:r w:rsidR="00000000" w:rsidRPr="00000000" w:rsidDel="00000000">
              <w:rPr>
                <w:rtl w:val="0"/>
              </w:rPr>
              <w:t xml:space="preserve">apakšpunktā</w:t>
            </w:r>
            <w:r w:rsidR="00000000" w:rsidRPr="00000000" w:rsidDel="00000000">
              <w:rPr>
                <w:rtl w:val="0"/>
              </w:rPr>
              <w:t xml:space="preserve"> minēto dokumentu saņemšanas informāciju par būvkomersantu, kas atbilst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minētajām prasībām, publicē savā tīmekļvietnē, norādot būvkomersanta nosaukumu, juridisko adresi, tālruņa numuru un elektroniskā pasta adresi;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Lauku atbalsta dienests divu nedēļu laikā pēc šo noteikumu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minēto dokumentu saņemšanas izvērtē un apstiprina šo noteikumu </w:t>
            </w:r>
            <w:r w:rsidR="00000000" w:rsidRPr="00000000" w:rsidDel="00000000">
              <w:rPr>
                <w:rtl w:val="0"/>
              </w:rPr>
              <w:t xml:space="preserve">14. </w:t>
            </w:r>
            <w:r w:rsidR="00000000" w:rsidRPr="00000000" w:rsidDel="00000000">
              <w:rPr>
                <w:rtl w:val="0"/>
              </w:rPr>
              <w:t xml:space="preserve">punkt</w:t>
            </w:r>
            <w:r w:rsidR="00000000" w:rsidRPr="00000000" w:rsidDel="00000000">
              <w:rPr>
                <w:rtl w:val="0"/>
              </w:rPr>
              <w:t xml:space="preserve">ā minēto atzinumu sniedzēju un mākslīgo mitrāju ekspertu sarakstu, ko publicē savā tīmekļvietnē, norādot atzinuma sniedzēja nosaukumu, juridisko adresi, tālruņa numuru un elektroniskā pasta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kādi personas dati tiek publicēti par ekspertiem, izvērtējot, vai noteiktais publicējamais personas datu apjoms atbilst Datu regulā[1] noteiktajam datu minimizēšanas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2016. gada 27. aprīļa regula (ES) 2016/679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Lauku atbalsta dienests viena mēneša laikā pēc šo noteikumu </w:t>
            </w:r>
            <w:r w:rsidR="00000000" w:rsidRPr="00000000" w:rsidDel="00000000">
              <w:rPr>
                <w:rtl w:val="0"/>
              </w:rPr>
              <w:t xml:space="preserve">​15.2.1.</w:t>
            </w:r>
            <w:r w:rsidR="00000000" w:rsidRPr="00000000" w:rsidDel="00000000">
              <w:rPr>
                <w:rtl w:val="0"/>
              </w:rPr>
              <w:t xml:space="preserve">, </w:t>
            </w:r>
            <w:r w:rsidR="00000000" w:rsidRPr="00000000" w:rsidDel="00000000">
              <w:rPr>
                <w:rtl w:val="0"/>
              </w:rPr>
              <w:t xml:space="preserve">​15.2.2.</w:t>
            </w:r>
            <w:r w:rsidR="00000000" w:rsidRPr="00000000" w:rsidDel="00000000">
              <w:rPr>
                <w:rtl w:val="0"/>
              </w:rPr>
              <w:t xml:space="preserve"> un </w:t>
            </w:r>
            <w:r w:rsidR="00000000" w:rsidRPr="00000000" w:rsidDel="00000000">
              <w:rPr>
                <w:rtl w:val="0"/>
              </w:rPr>
              <w:t xml:space="preserve">​15.2.3. </w:t>
            </w:r>
            <w:r w:rsidR="00000000" w:rsidRPr="00000000" w:rsidDel="00000000">
              <w:rPr>
                <w:rtl w:val="0"/>
              </w:rPr>
              <w:t xml:space="preserve">apakšpunktā</w:t>
            </w:r>
            <w:r w:rsidR="00000000" w:rsidRPr="00000000" w:rsidDel="00000000">
              <w:rPr>
                <w:rtl w:val="0"/>
              </w:rPr>
              <w:t xml:space="preserve"> minēto dokumentu saņemšanas informāciju par būvkomersantu, kas atbilst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minētajām prasībām, publicē savā tīmekļvietnē, norādot būvkomersanta nosaukumu, juridisko adresi, tālruņa numuru un elektroniskā pasta adresi;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minētais atzinuma sniedzējs nodrošina atbalsta pretendenta datu konfidencialitāti.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15. punktā minētā datu konfidencialitāte saistīta arī ar personas datu aizsardzību, ņemot vērā, ka atbalsta saņēmējs var būt arī fiziska persona un, piemēram, no 1. pielikuma izriet vārda, uzvārda un personas koda apstrāde. Ja minētais attiecas arī uz personas datu aizsardzību, lūdzam aizpildīt anotācijas 8.1.13.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aizpildīt anotācijas 8.1.13. apakšsadaļu,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būvkomersants un atbalsta pretendents atbilstoši normatīvajiem aktiem par personu datu aizsardzību apstrādā personas datus – vārdu, uzvārdu, personas kodu, tālruņa numuru, e-pasta adresi, Lauku atbalsta dienesta klienta numuru, nekustamā īpašuma adresi un kadastra numuru, lai, administrējot pasākumu, identificētu personu. Fiziskās personas datus uzglabā līdz 2035. gada 31. decembrim, ja tā ir pieteikusies valsts un Eiropas Savienības atbalstam, ko piešķir saskaņā ar normatīvajiem aktiem par valsts un Eiropas Savienības atbalsta piešķiršanu Eiropas Jūrlietu un zivsaimniecības fonda pasākumiem. Fiziskās personas datus uzglabā līdz 2037. gada 31. decembrim, ja tā ir pieteikusies valsts un Eiropas Savienības atbalstam, ko piešķir saskaņā ar normatīvajiem aktiem par valsts un Eiropas Savienības atbalsta piešķiršanu lauku attīstībai. Šajā punktā minētos datus pēc norādītā termiņa iznīcina saskaņā ar Arhīvu likumā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minētais atzinuma sniedzējs nenodrošina šajos noteikumos minēto prasību izpildi, Lauku atbalsta dienests ir tiesīgs to izslēgt no šo noteikumu </w:t>
            </w:r>
            <w:r w:rsidR="00000000" w:rsidRPr="00000000" w:rsidDel="00000000">
              <w:rPr>
                <w:rtl w:val="0"/>
              </w:rPr>
              <w:t xml:space="preserve">14.3. </w:t>
            </w:r>
            <w:r w:rsidR="00000000" w:rsidRPr="00000000" w:rsidDel="00000000">
              <w:rPr>
                <w:rtl w:val="0"/>
              </w:rPr>
              <w:t xml:space="preserve">apakšpunktā</w:t>
            </w:r>
            <w:r w:rsidR="00000000" w:rsidRPr="00000000" w:rsidDel="00000000">
              <w:rPr>
                <w:rtl w:val="0"/>
              </w:rPr>
              <w:t xml:space="preserve"> minētā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atzinuma sniedzējs uzreiz tiek svītrots vai arī tiek nodrošināta iespēja novērst konstatētās problēmas, lai tas varētu turpināt savu darbību un nebūtu no jauna jāiet visa procedūra, lai to atkal iekļautu sarakstā.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Atbalsta intensitāte ir 100 procentu no projekta attiecināmajiem izdevumiem saskaņā ar regulas </w:t>
            </w:r>
            <w:r w:rsidR="00000000" w:rsidRPr="00000000" w:rsidDel="00000000">
              <w:rPr>
                <w:rtl w:val="0"/>
              </w:rPr>
              <w:t xml:space="preserve">2021/2115</w:t>
            </w:r>
            <w:r w:rsidR="00000000" w:rsidRPr="00000000" w:rsidDel="00000000">
              <w:rPr>
                <w:rtl w:val="0"/>
              </w:rPr>
              <w:t xml:space="preserve"> 73. panta 4.punkta "a" apakšpunkta "i"  apakšpunktā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27. punktu, ņemot vērā, ka no 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 73. panta 4. punkta "a" apakšpunkta izriet iespēja dalībvalstij palielināt maksimālo atbalsta likmi līdz 80%, nevis nosacījumi attiecībā uz atbalsta intensitātes 100%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atsauces uz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Atbalsta intensitāte ir 100 procentu no projekta attiecināmajiem izdevumiem saskaņā ar regulas </w:t>
            </w:r>
            <w:r w:rsidR="00000000" w:rsidRPr="00000000" w:rsidDel="00000000">
              <w:rPr>
                <w:rtl w:val="0"/>
              </w:rPr>
              <w:t xml:space="preserve">2021/2115</w:t>
            </w:r>
            <w:r w:rsidR="00000000" w:rsidRPr="00000000" w:rsidDel="00000000">
              <w:rPr>
                <w:rtl w:val="0"/>
              </w:rPr>
              <w:t xml:space="preserve"> 73. panta 4. punkta "c" apakšpunkta "i" apakšpunktu.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1.3. apakšsadaļā ietvertos skaidrojumus par projekta atbilstību Eiropas Savienības tiesību aktiem un veikt nepieciešamos precizējumus anotācijas 1.3. apakšsadaļā, 5. sadaļā vai projektā, ja nepieciešams. Vēršam uzmanību, ka, piemēram, no anotācijas 1.3. apakšsadaļas saprotams, ka intervences LA4.5. atbalstu paredzēts izmaksāt dotācijas veidā, kuru piešķir saskaņā ar regulas 2021/2115 83. panta 1. punkta "b" un "d" apakšpunktu, bet projektā un anotācijas 5. sadaļā tiek norādīts tikai uz regulas 2021/2115 83. panta 1. punkta "b"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atsauces uz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anotācijas 1.3. apakšsadaļas skaidrojumus, nodrošinot tiesību normu adresātiem pilnīgu projekta izpratni. Vēršam uzmanību, ka problēmu un risinājuma apraksta apakšsadaļā skaidrota tikai daļa projekta. Piemēram, netiek nodrošināta izpratne, piemēram, par to, kā notiek atzinuma sniedzēju izslēgšana no projekta 14.3. apakšpunktā minētā saraksta, kas saprotams ar akreditēto laboratoriju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noteikumu projekta 18. punkta redakcija, to papildinot ar atsauci uz "laboratorijām,  kas ir akreditētas ūdens izmeklējumiem",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noskaidrotu mitrāja izveides nepieciešamību konkrētajā meliorācijas sistēmas vai lietusūdens savākšanas un novadīšanas sistēmas posmā, atbalsta pretendents pirms būvprojekta izstrādes uzsākšanas nodrošina vismaz divu, bet ne vairāk kā četru ūdens paraugu ievākšanu un testēšanu, ievērojot laboratorijas, kas ir akreditēta ūdens izmeklējumiem, noteikto procedūru, tostarp pareizu paraugu ņemšanas secību, īstenojamo darbību kārtību, parauga ievākšanas trauku, to tilpumu un transportēšanas prasības. Pirms ūdens paraugu ievākšanas par to pareizu ievākšanas vietu, metodiku un kārtību atbalsta pretendents konsultējas ar konkrēto mākslīgā mitrāja ekspertu. Paraugus var ievākt patstāvīgi vai mākslīgā mitrāja eksperta klātbūtnē, un par to izdara atzīmi šo noteikumu 14. punktā minētajā atzinumā."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noteikumu projektā iekļauto informācijas sniegšanas pienākumu vērtējumu un atbilstoši vērtējumam veikt administratīvo izmaksu monetāru novērtējumu, kas aizpildāms par fiziskām un juridiskām personām anotācijas 2. sadaļas 2.3 apakšpunktā  un 2.4.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16. un 18.2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sadaļas 2.3 apakšpunkts  un 2.4. apakšpunkts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visas biedrības, kuras bija iesaistītas projekta izstrādē. Attiecīgi lūdzam papildināt uzskaitījumu ar publiskās apspriešanas dalībniekiem.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sadaļas  6.1.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6.3.punktā minēto informāciju, sniedzot apkopojumu par sabiedrības pārstāvju iesaisti projekta izstrādes procesā - gan publiskajā apspriešanā saņemtajiem viedokļiem no konkrētajam organizācijām, gan saskaņošanas laikā saņemto atzinumu no biedrības. Lūdzam norādīt sabiedrības pārstāvju izteiktos viedokļus, kā arī ministrijas nostāju par 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sadaļas  6.3.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2024.gada nogalē TAP portālā ir izveidota iespēja publicēt publiskās apspriešanas apkopojumu. Aicinām pievienot apkopojumu atbilstošajā vietā. Vienlaikus arī lūdzam anotācijas pielikumā pievienoto apkopojumu noņemt, šādā formātā apkopojums nav uzskatāmi pieejams sabiedrības pārstāvjiem.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sadaļas  6.4.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7. sadaļu un izvērtēt projekta izpildes nodrošināšanu un tā ietekmi uz institūcijām. Vēršam uzmanību, ka atbilstoši anotācijas 1.3. apakšsadaļai un projekta redakcijai tas ietekmē pašvaldības un Lauku atbalsta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7.2.punktu, sniedzot aprēķinus saistībā ar projektā paredzētajiem pienākumiem Lauku atbalsta dienestam.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 sadaļas  7.2.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2021.gada vadlīnijās sākotnējās ietekmes novērtēšanai un novērtējuma ziņojuma sagatavošanai vienotajā tiesību aktu izstrādes un saskaņošanas portālā noteiktajam attiecībā uz datu aizsardzību (54.-55.lpp.), aicinām anotācijas 8.1.13. apakšpunktu papildināt, norādot tiesisko pamatojumu personu datu apstrādei (tostarp arī spēkā esošu ārējo normatīvo aktu (-us) un tā normu (-as), no kā ir izsecināma nepieciešamība apstrādāt personu datus projektā paredzētajā veidā), kā arī kādu datu subjektu datus paredz apstrādāt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svītrojot ierakstu, atbilstoši noteikumu projekta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anotācijā noteiktais personas datu glabāšanas termiņš būtu saistošs pārzinim, lūdzam papildināt projektu, iekļaujot tajā noteikumus par personas datu glabāšanu, papildus anotācijā iekļaujot attiecīgu skaidrojumu, kas pamatotu izvēlētos datu glabāšanas termiņus -  līdz 2035. gada 31. decembrim un līdz 2037. gada 31. decembrim. Paskaidrojam, ka atbilstoši Datu regulas 5. 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 Vēršam uzmanību, ka anotācijā nav sniegts skaidrojums nepieciešamībai uzglabāt personas datus anotācijā noteikto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svītrojot ierakstu, atbilstoši noteikumu projekta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24-TA-2765</w:t>
    </w:r>
    <w:r>
      <w:br/>
    </w:r>
    <w:r w:rsidR="00000000" w:rsidRPr="00000000" w:rsidDel="00000000">
      <w:rPr>
        <w:rtl w:val="0"/>
      </w:rPr>
      <w:t xml:space="preserve">26.03.2025. 15.10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24-TA-2765</w:t>
    </w:r>
    <w:r>
      <w:br/>
    </w:r>
    <w:r w:rsidR="00000000" w:rsidRPr="00000000" w:rsidDel="00000000">
      <w:rPr>
        <w:rtl w:val="0"/>
      </w:rPr>
      <w:t xml:space="preserve">26.03.2025. 15.10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Izziņa_24-TA-2765.docx</dc:title>
</cp:coreProperties>
</file>

<file path=docProps/custom.xml><?xml version="1.0" encoding="utf-8"?>
<Properties xmlns="http://schemas.openxmlformats.org/officeDocument/2006/custom-properties" xmlns:vt="http://schemas.openxmlformats.org/officeDocument/2006/docPropsVTypes"/>
</file>