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BC9EE" w14:textId="77777777" w:rsidR="00826C47" w:rsidRDefault="00826C47" w:rsidP="00826C47">
      <w:pPr>
        <w:rPr>
          <w:rFonts w:asciiTheme="minorHAnsi" w:hAnsiTheme="minorHAnsi" w:cstheme="minorBidi"/>
        </w:rPr>
      </w:pPr>
    </w:p>
    <w:p w14:paraId="114E8974" w14:textId="77777777" w:rsidR="00826C47" w:rsidRDefault="00826C47" w:rsidP="00826C47">
      <w:pPr>
        <w:rPr>
          <w:rFonts w:asciiTheme="minorHAnsi" w:hAnsiTheme="minorHAnsi" w:cstheme="minorBidi"/>
        </w:rPr>
      </w:pPr>
    </w:p>
    <w:p w14:paraId="0CFBE064" w14:textId="77777777" w:rsidR="00826C47" w:rsidRDefault="00826C47" w:rsidP="00826C47">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SPRK &lt;sprk@sprk.gov.lv&gt;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pirmdiena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6. </w:t>
      </w:r>
      <w:proofErr w:type="spellStart"/>
      <w:r>
        <w:rPr>
          <w:rFonts w:eastAsia="Times New Roman"/>
          <w:lang w:val="en-US" w:eastAsia="lv-LV"/>
        </w:rPr>
        <w:t>decembris</w:t>
      </w:r>
      <w:proofErr w:type="spellEnd"/>
      <w:r>
        <w:rPr>
          <w:rFonts w:eastAsia="Times New Roman"/>
          <w:lang w:val="en-US" w:eastAsia="lv-LV"/>
        </w:rPr>
        <w:t xml:space="preserve"> 18:00</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VSS-366__MK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xml:space="preserve"> par </w:t>
      </w:r>
      <w:proofErr w:type="spellStart"/>
      <w:r>
        <w:rPr>
          <w:rFonts w:eastAsia="Times New Roman"/>
          <w:lang w:val="en-US" w:eastAsia="lv-LV"/>
        </w:rPr>
        <w:t>atkritumu</w:t>
      </w:r>
      <w:proofErr w:type="spellEnd"/>
      <w:r>
        <w:rPr>
          <w:rFonts w:eastAsia="Times New Roman"/>
          <w:lang w:val="en-US" w:eastAsia="lv-LV"/>
        </w:rPr>
        <w:t xml:space="preserve"> </w:t>
      </w:r>
      <w:proofErr w:type="spellStart"/>
      <w:r>
        <w:rPr>
          <w:rFonts w:eastAsia="Times New Roman"/>
          <w:lang w:val="en-US" w:eastAsia="lv-LV"/>
        </w:rPr>
        <w:t>apsaimniekošanas</w:t>
      </w:r>
      <w:proofErr w:type="spellEnd"/>
      <w:r>
        <w:rPr>
          <w:rFonts w:eastAsia="Times New Roman"/>
          <w:lang w:val="en-US" w:eastAsia="lv-LV"/>
        </w:rPr>
        <w:t xml:space="preserve"> </w:t>
      </w:r>
      <w:proofErr w:type="spellStart"/>
      <w:r>
        <w:rPr>
          <w:rFonts w:eastAsia="Times New Roman"/>
          <w:lang w:val="en-US" w:eastAsia="lv-LV"/>
        </w:rPr>
        <w:t>reģioniem</w:t>
      </w:r>
      <w:proofErr w:type="spellEnd"/>
      <w:r>
        <w:rPr>
          <w:rFonts w:eastAsia="Times New Roman"/>
          <w:lang w:val="en-US" w:eastAsia="lv-LV"/>
        </w:rPr>
        <w:t xml:space="preserve">" - </w:t>
      </w:r>
      <w:proofErr w:type="spellStart"/>
      <w:r>
        <w:rPr>
          <w:rFonts w:eastAsia="Times New Roman"/>
          <w:lang w:val="en-US" w:eastAsia="lv-LV"/>
        </w:rPr>
        <w:t>starpministriju</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xml:space="preserve"> </w:t>
      </w:r>
      <w:proofErr w:type="spellStart"/>
      <w:r>
        <w:rPr>
          <w:rFonts w:eastAsia="Times New Roman"/>
          <w:lang w:val="en-US" w:eastAsia="lv-LV"/>
        </w:rPr>
        <w:t>uz</w:t>
      </w:r>
      <w:proofErr w:type="spellEnd"/>
      <w:r>
        <w:rPr>
          <w:rFonts w:eastAsia="Times New Roman"/>
          <w:lang w:val="en-US" w:eastAsia="lv-LV"/>
        </w:rPr>
        <w:t xml:space="preserve"> 5 </w:t>
      </w:r>
      <w:proofErr w:type="spellStart"/>
      <w:r>
        <w:rPr>
          <w:rFonts w:eastAsia="Times New Roman"/>
          <w:lang w:val="en-US" w:eastAsia="lv-LV"/>
        </w:rPr>
        <w:t>dienām</w:t>
      </w:r>
      <w:proofErr w:type="spellEnd"/>
    </w:p>
    <w:p w14:paraId="35DC071D" w14:textId="77777777" w:rsidR="00826C47" w:rsidRDefault="00826C47" w:rsidP="00826C47"/>
    <w:p w14:paraId="5509B282" w14:textId="77777777" w:rsidR="00826C47" w:rsidRDefault="00826C47" w:rsidP="00826C47">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14:paraId="7012104C" w14:textId="77777777" w:rsidR="00826C47" w:rsidRDefault="00826C47" w:rsidP="00826C47">
      <w:pPr>
        <w:rPr>
          <w:rFonts w:eastAsia="Times New Roman"/>
          <w:lang w:eastAsia="lv-LV"/>
        </w:rPr>
      </w:pPr>
    </w:p>
    <w:p w14:paraId="0008231B" w14:textId="77777777" w:rsidR="00826C47" w:rsidRDefault="00826C47" w:rsidP="00826C47">
      <w:pPr>
        <w:keepNext/>
        <w:jc w:val="right"/>
        <w:rPr>
          <w:rFonts w:ascii="Tahoma" w:hAnsi="Tahoma" w:cs="Tahoma"/>
          <w:b/>
          <w:bCs/>
        </w:rPr>
      </w:pPr>
      <w:r>
        <w:rPr>
          <w:rFonts w:ascii="Tahoma" w:hAnsi="Tahoma" w:cs="Tahoma"/>
          <w:b/>
          <w:bCs/>
        </w:rPr>
        <w:t xml:space="preserve">Vides aizsardzības un reģionālās </w:t>
      </w:r>
    </w:p>
    <w:p w14:paraId="53378113" w14:textId="77777777" w:rsidR="00826C47" w:rsidRDefault="00826C47" w:rsidP="00826C47">
      <w:pPr>
        <w:spacing w:line="320" w:lineRule="exact"/>
        <w:jc w:val="right"/>
        <w:rPr>
          <w:rFonts w:ascii="Tahoma" w:hAnsi="Tahoma" w:cs="Tahoma"/>
          <w:b/>
          <w:bCs/>
        </w:rPr>
      </w:pPr>
      <w:r>
        <w:rPr>
          <w:rFonts w:ascii="Tahoma" w:hAnsi="Tahoma" w:cs="Tahoma"/>
          <w:b/>
          <w:bCs/>
        </w:rPr>
        <w:t>attīstības ministrijai</w:t>
      </w:r>
    </w:p>
    <w:p w14:paraId="135F8D93" w14:textId="77777777" w:rsidR="00826C47" w:rsidRDefault="00826C47" w:rsidP="00826C47">
      <w:pPr>
        <w:jc w:val="right"/>
        <w:rPr>
          <w:b/>
          <w:bCs/>
          <w:lang w:eastAsia="lv-LV"/>
        </w:rPr>
      </w:pPr>
      <w:hyperlink r:id="rId5" w:history="1">
        <w:r>
          <w:rPr>
            <w:rStyle w:val="Hyperlink"/>
            <w:rFonts w:ascii="Tahoma" w:hAnsi="Tahoma" w:cs="Tahoma"/>
            <w:b/>
            <w:bCs/>
          </w:rPr>
          <w:t>pasts@varam.gov.lv</w:t>
        </w:r>
      </w:hyperlink>
    </w:p>
    <w:p w14:paraId="53C6EF15" w14:textId="77777777" w:rsidR="00826C47" w:rsidRDefault="00826C47" w:rsidP="00826C47">
      <w:pPr>
        <w:rPr>
          <w:b/>
          <w:bCs/>
          <w:lang w:eastAsia="lv-LV"/>
        </w:rPr>
      </w:pPr>
    </w:p>
    <w:p w14:paraId="11CED8B1" w14:textId="77777777" w:rsidR="00826C47" w:rsidRDefault="00826C47" w:rsidP="00826C47">
      <w:pPr>
        <w:rPr>
          <w:b/>
          <w:bCs/>
          <w:lang w:eastAsia="lv-LV"/>
        </w:rPr>
      </w:pPr>
    </w:p>
    <w:p w14:paraId="475BAC88" w14:textId="77777777" w:rsidR="00826C47" w:rsidRDefault="00826C47" w:rsidP="00826C47">
      <w:pPr>
        <w:rPr>
          <w:b/>
          <w:bCs/>
          <w:lang w:eastAsia="lv-LV"/>
        </w:rPr>
      </w:pPr>
      <w:r>
        <w:rPr>
          <w:b/>
          <w:bCs/>
          <w:lang w:eastAsia="lv-LV"/>
        </w:rPr>
        <w:t>              06.12.2021 Nr2-2.51/3413</w:t>
      </w:r>
    </w:p>
    <w:p w14:paraId="22F6BA05" w14:textId="77777777" w:rsidR="00826C47" w:rsidRDefault="00826C47" w:rsidP="00826C47">
      <w:pPr>
        <w:ind w:firstLine="709"/>
        <w:jc w:val="both"/>
        <w:rPr>
          <w:rFonts w:ascii="Tahoma" w:hAnsi="Tahoma" w:cs="Tahoma"/>
        </w:rPr>
      </w:pPr>
      <w:r>
        <w:rPr>
          <w:rFonts w:ascii="Tahoma" w:hAnsi="Tahoma" w:cs="Tahoma"/>
        </w:rPr>
        <w:t>Uz 30.11.2021. Nr. 1-14/10412</w:t>
      </w:r>
    </w:p>
    <w:p w14:paraId="6E4B18C5" w14:textId="77777777" w:rsidR="00826C47" w:rsidRDefault="00826C47" w:rsidP="00826C47">
      <w:pPr>
        <w:ind w:firstLine="720"/>
        <w:jc w:val="both"/>
        <w:rPr>
          <w:rFonts w:ascii="Tahoma" w:hAnsi="Tahoma" w:cs="Tahoma"/>
        </w:rPr>
      </w:pPr>
    </w:p>
    <w:p w14:paraId="52023E4B" w14:textId="77777777" w:rsidR="00826C47" w:rsidRDefault="00826C47" w:rsidP="00826C47">
      <w:pPr>
        <w:ind w:firstLine="720"/>
        <w:jc w:val="both"/>
        <w:rPr>
          <w:rFonts w:ascii="Tahoma" w:hAnsi="Tahoma" w:cs="Tahoma"/>
          <w:sz w:val="24"/>
          <w:szCs w:val="24"/>
          <w:lang w:eastAsia="lv-LV"/>
        </w:rPr>
      </w:pPr>
      <w:r>
        <w:rPr>
          <w:rFonts w:ascii="Tahoma" w:hAnsi="Tahoma" w:cs="Tahoma"/>
        </w:rPr>
        <w:t>Labdien!</w:t>
      </w:r>
    </w:p>
    <w:p w14:paraId="3B1C9F7C" w14:textId="77777777" w:rsidR="00826C47" w:rsidRDefault="00826C47" w:rsidP="00826C47">
      <w:pPr>
        <w:jc w:val="both"/>
        <w:rPr>
          <w:rFonts w:ascii="Tahoma" w:hAnsi="Tahoma" w:cs="Tahoma"/>
        </w:rPr>
      </w:pPr>
    </w:p>
    <w:p w14:paraId="541F2286" w14:textId="77777777" w:rsidR="00826C47" w:rsidRDefault="00826C47" w:rsidP="00826C47">
      <w:pPr>
        <w:ind w:firstLine="567"/>
        <w:jc w:val="both"/>
        <w:rPr>
          <w:rFonts w:ascii="Tahoma" w:hAnsi="Tahoma" w:cs="Tahoma"/>
        </w:rPr>
      </w:pPr>
      <w:r>
        <w:rPr>
          <w:rFonts w:ascii="Tahoma" w:hAnsi="Tahoma" w:cs="Tahoma"/>
        </w:rPr>
        <w:t xml:space="preserve">Sabiedrisko pakalpojumu regulēšanas komisija (turpmāk – Regulators) savas kompetences ietvaros izskatīja 2021.gada 30.novembrī atkārtotai saskaņošanai atsūtīto precizēto Ministru kabineta noteikumu projektu “Noteikumi par atkritumu apsaimniekošanas reģioniem” (VSS – 366, turpmāk - Projekts), anotāciju (turpmāk – Anotācija) un izziņu par atzinumos sniegtajiem iebildumiem un izsaka iebildumu pret Projekta turpmāko virzību esošajā redakcijā. </w:t>
      </w:r>
    </w:p>
    <w:p w14:paraId="497C5DA6" w14:textId="77777777" w:rsidR="00826C47" w:rsidRDefault="00826C47" w:rsidP="00826C47">
      <w:pPr>
        <w:ind w:firstLine="567"/>
        <w:jc w:val="both"/>
        <w:rPr>
          <w:rFonts w:ascii="Tahoma" w:hAnsi="Tahoma" w:cs="Tahoma"/>
          <w:shd w:val="clear" w:color="auto" w:fill="FFFFFF"/>
        </w:rPr>
      </w:pPr>
      <w:r>
        <w:rPr>
          <w:rFonts w:ascii="Tahoma" w:hAnsi="Tahoma" w:cs="Tahoma"/>
        </w:rPr>
        <w:t xml:space="preserve">Regulators norāda, ka Regulatora iepriekš izteiktais iebildums (skat. izziņas II sadaļas 1. </w:t>
      </w:r>
      <w:proofErr w:type="spellStart"/>
      <w:r>
        <w:rPr>
          <w:rFonts w:ascii="Tahoma" w:hAnsi="Tahoma" w:cs="Tahoma"/>
        </w:rPr>
        <w:t>nr.p.k</w:t>
      </w:r>
      <w:proofErr w:type="spellEnd"/>
      <w:r>
        <w:rPr>
          <w:rFonts w:ascii="Tahoma" w:hAnsi="Tahoma" w:cs="Tahoma"/>
        </w:rPr>
        <w:t>.) joprojām nav ņemts vērā, kaut gan Projekta izziņā norādīts, ka par to panākta vienošanās. Lai gan Projekts ir precizēts, Regulatora iepriekš izteiktajā iebildumā norādītā problēma nav zudusi. Atkārtoti norādām, ka Regulatora ieskatā</w:t>
      </w:r>
      <w:r>
        <w:rPr>
          <w:rFonts w:ascii="Tahoma" w:hAnsi="Tahoma" w:cs="Tahoma"/>
          <w:color w:val="000000"/>
          <w:shd w:val="clear" w:color="auto" w:fill="FFFFFF"/>
        </w:rPr>
        <w:t xml:space="preserve"> ir nepieciešams noteikt pārejas periodu arī Projektā</w:t>
      </w:r>
      <w:r>
        <w:rPr>
          <w:rFonts w:ascii="Tahoma" w:hAnsi="Tahoma" w:cs="Tahoma"/>
        </w:rPr>
        <w:t xml:space="preserve">, lai novērstu situāciju, ka laika periodā līdz brīdim, kad sadzīves atkritumu apsaimniekošana tiks uzsākta atbilstoši jaunajam atkritumu apsaimniekošanas reģionālajam iedalījumam, pastāv iespēja, ka sadzīves atkritumus apglabāšanai iespējams nogādāt uz sadzīves atkritumu poligonu, kas atrodas blakus atkritumu apsaimniekošanas reģionā, tādējādi pārkāpjot </w:t>
      </w:r>
      <w:r>
        <w:rPr>
          <w:rFonts w:ascii="Tahoma" w:hAnsi="Tahoma" w:cs="Tahoma"/>
          <w:color w:val="000000"/>
          <w:shd w:val="clear" w:color="auto" w:fill="FFFFFF"/>
        </w:rPr>
        <w:t>Atkritumu apsaimniekošanas likuma 21.panta pirmajā daļā noteikto (</w:t>
      </w:r>
      <w:r>
        <w:rPr>
          <w:rFonts w:ascii="Tahoma" w:hAnsi="Tahoma" w:cs="Tahoma"/>
          <w:i/>
          <w:iCs/>
          <w:color w:val="000000"/>
          <w:shd w:val="clear" w:color="auto" w:fill="FFFFFF"/>
        </w:rPr>
        <w:t>sadzīves atkritumus apglabā tikai attiecīgā atkritumu apsaimniekošanas reģiona sadzīves atkritumu poligonā</w:t>
      </w:r>
      <w:r>
        <w:rPr>
          <w:rFonts w:ascii="Arial" w:hAnsi="Arial" w:cs="Arial"/>
          <w:color w:val="414142"/>
          <w:shd w:val="clear" w:color="auto" w:fill="FFFFFF"/>
        </w:rPr>
        <w:t>)</w:t>
      </w:r>
      <w:r>
        <w:rPr>
          <w:rFonts w:ascii="Tahoma" w:hAnsi="Tahoma" w:cs="Tahoma"/>
          <w:color w:val="000000"/>
          <w:shd w:val="clear" w:color="auto" w:fill="FFFFFF"/>
        </w:rPr>
        <w:t>.</w:t>
      </w:r>
    </w:p>
    <w:p w14:paraId="43218385" w14:textId="77777777" w:rsidR="00826C47" w:rsidRDefault="00826C47" w:rsidP="00826C47">
      <w:pPr>
        <w:ind w:firstLine="567"/>
        <w:jc w:val="both"/>
        <w:rPr>
          <w:rFonts w:ascii="Tahoma" w:hAnsi="Tahoma" w:cs="Tahoma"/>
          <w:shd w:val="clear" w:color="auto" w:fill="FFFFFF"/>
        </w:rPr>
      </w:pPr>
      <w:r>
        <w:rPr>
          <w:rFonts w:ascii="Tahoma" w:hAnsi="Tahoma" w:cs="Tahoma"/>
          <w:color w:val="000000"/>
          <w:shd w:val="clear" w:color="auto" w:fill="FFFFFF"/>
        </w:rPr>
        <w:t xml:space="preserve">Pārejas periodā, kad iesaistītās personas veiks nepieciešamos sagatavošanās darbus, lai uzsāktu sadzīves atkritumu apsaimniekošanu atbilstoši jaunajam reģionālajam iedalījumam (tostarp, pieņems lēmumus, apstiprinās plānus, noslēgs atbilstošus līgumus), spēkā joprojām jābūt faktiskajai situācijai atbilstošam normatīvajam regulējumam jeb reģionālajam iedalījumam. </w:t>
      </w:r>
    </w:p>
    <w:p w14:paraId="77BF5377" w14:textId="77777777" w:rsidR="00826C47" w:rsidRDefault="00826C47" w:rsidP="00826C47">
      <w:pPr>
        <w:rPr>
          <w:rFonts w:ascii="Tahoma" w:hAnsi="Tahoma" w:cs="Tahoma"/>
        </w:rPr>
      </w:pPr>
    </w:p>
    <w:p w14:paraId="01F1E762" w14:textId="77777777" w:rsidR="00826C47" w:rsidRDefault="00826C47" w:rsidP="00826C47">
      <w:pPr>
        <w:rPr>
          <w:b/>
          <w:bCs/>
          <w:lang w:eastAsia="lv-LV"/>
        </w:rPr>
      </w:pPr>
      <w:r>
        <w:rPr>
          <w:rFonts w:ascii="Tahoma" w:hAnsi="Tahoma" w:cs="Tahoma"/>
        </w:rPr>
        <w:t>Ar cieņu</w:t>
      </w:r>
    </w:p>
    <w:p w14:paraId="3846447D" w14:textId="77777777" w:rsidR="00826C47" w:rsidRDefault="00826C47" w:rsidP="00826C47"/>
    <w:p w14:paraId="7ABE377E" w14:textId="77777777" w:rsidR="00826C47" w:rsidRDefault="00826C47" w:rsidP="00826C47">
      <w:pPr>
        <w:spacing w:after="160" w:line="252" w:lineRule="auto"/>
        <w:rPr>
          <w:rFonts w:ascii="Tahoma" w:hAnsi="Tahoma" w:cs="Tahoma"/>
          <w:b/>
          <w:bCs/>
          <w:color w:val="808080"/>
          <w:sz w:val="8"/>
          <w:szCs w:val="8"/>
          <w:lang w:eastAsia="lv-LV"/>
        </w:rPr>
      </w:pPr>
      <w:bookmarkStart w:id="1" w:name="_GoBack"/>
      <w:bookmarkEnd w:id="1"/>
      <w:r>
        <w:rPr>
          <w:rFonts w:ascii="Tahoma" w:hAnsi="Tahoma" w:cs="Tahoma"/>
          <w:b/>
          <w:bCs/>
          <w:color w:val="808080"/>
          <w:sz w:val="18"/>
          <w:szCs w:val="18"/>
          <w:lang w:eastAsia="lv-LV"/>
        </w:rPr>
        <w:t>Ināra Teibe</w:t>
      </w:r>
      <w:r>
        <w:rPr>
          <w:rFonts w:ascii="Tahoma" w:hAnsi="Tahoma" w:cs="Tahoma"/>
          <w:color w:val="808080"/>
          <w:sz w:val="16"/>
          <w:szCs w:val="16"/>
          <w:lang w:eastAsia="lv-LV"/>
        </w:rPr>
        <w:br/>
        <w:t>Ūdenssaimniecības, depozīta sistēmas un atkritumu departaments</w:t>
      </w:r>
      <w:r>
        <w:rPr>
          <w:rFonts w:ascii="Tahoma" w:hAnsi="Tahoma" w:cs="Tahoma"/>
          <w:color w:val="808080"/>
          <w:sz w:val="16"/>
          <w:szCs w:val="16"/>
          <w:lang w:eastAsia="lv-LV"/>
        </w:rPr>
        <w:br/>
        <w:t>Depozīta sistēmas un atkritumu nodaļas</w:t>
      </w:r>
      <w:r>
        <w:rPr>
          <w:rFonts w:ascii="Tahoma" w:hAnsi="Tahoma" w:cs="Tahoma"/>
          <w:color w:val="808080"/>
          <w:sz w:val="16"/>
          <w:szCs w:val="16"/>
          <w:lang w:eastAsia="lv-LV"/>
        </w:rPr>
        <w:br/>
        <w:t>Galvenā eksperte</w:t>
      </w:r>
      <w:r>
        <w:rPr>
          <w:rFonts w:ascii="Tahoma" w:hAnsi="Tahoma" w:cs="Tahoma"/>
          <w:color w:val="808080"/>
          <w:sz w:val="16"/>
          <w:szCs w:val="16"/>
          <w:lang w:eastAsia="lv-LV"/>
        </w:rPr>
        <w:br/>
        <w:t xml:space="preserve">T.    +371 67873853 </w:t>
      </w:r>
      <w:r>
        <w:rPr>
          <w:rFonts w:ascii="Tahoma" w:hAnsi="Tahoma" w:cs="Tahoma"/>
          <w:color w:val="808080"/>
          <w:sz w:val="16"/>
          <w:szCs w:val="16"/>
          <w:lang w:eastAsia="lv-LV"/>
        </w:rPr>
        <w:br/>
      </w:r>
      <w:r>
        <w:rPr>
          <w:rFonts w:ascii="Tahoma" w:hAnsi="Tahoma" w:cs="Tahoma"/>
          <w:b/>
          <w:bCs/>
          <w:color w:val="808080"/>
          <w:sz w:val="8"/>
          <w:szCs w:val="8"/>
          <w:lang w:eastAsia="lv-LV"/>
        </w:rPr>
        <w:t>____________________________________________________________________________________</w:t>
      </w:r>
    </w:p>
    <w:p w14:paraId="6E63C393" w14:textId="396CC16F" w:rsidR="00826C47" w:rsidRDefault="00826C47" w:rsidP="00826C47">
      <w:pPr>
        <w:spacing w:after="240" w:line="252" w:lineRule="auto"/>
        <w:rPr>
          <w:rFonts w:ascii="Tahoma" w:hAnsi="Tahoma" w:cs="Tahoma"/>
          <w:color w:val="000000"/>
          <w:sz w:val="16"/>
          <w:szCs w:val="16"/>
          <w:lang w:eastAsia="lv-LV"/>
        </w:rPr>
      </w:pPr>
      <w:r>
        <w:rPr>
          <w:noProof/>
        </w:rPr>
        <w:lastRenderedPageBreak/>
        <w:drawing>
          <wp:anchor distT="0" distB="0" distL="0" distR="0" simplePos="0" relativeHeight="251658240" behindDoc="0" locked="0" layoutInCell="1" allowOverlap="1" wp14:anchorId="66EC6418" wp14:editId="2E52CC1A">
            <wp:simplePos x="0" y="0"/>
            <wp:positionH relativeFrom="column">
              <wp:posOffset>-3175</wp:posOffset>
            </wp:positionH>
            <wp:positionV relativeFrom="paragraph">
              <wp:posOffset>-2540</wp:posOffset>
            </wp:positionV>
            <wp:extent cx="1920240" cy="487680"/>
            <wp:effectExtent l="0" t="0" r="3810" b="7620"/>
            <wp:wrapSquare wrapText="bothSides"/>
            <wp:docPr id="7" name="Picture 7" descr="Text&#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808080"/>
          <w:sz w:val="16"/>
          <w:szCs w:val="16"/>
          <w:lang w:eastAsia="lv-LV"/>
        </w:rPr>
        <w:br/>
      </w:r>
      <w:r>
        <w:rPr>
          <w:rFonts w:ascii="Tahoma" w:hAnsi="Tahoma" w:cs="Tahoma"/>
          <w:color w:val="808080"/>
          <w:sz w:val="16"/>
          <w:szCs w:val="16"/>
          <w:lang w:eastAsia="lv-LV"/>
        </w:rPr>
        <w:br/>
      </w:r>
      <w:r>
        <w:rPr>
          <w:rFonts w:ascii="Tahoma" w:hAnsi="Tahoma" w:cs="Tahoma"/>
          <w:color w:val="808080"/>
          <w:sz w:val="16"/>
          <w:szCs w:val="16"/>
          <w:lang w:eastAsia="lv-LV"/>
        </w:rPr>
        <w:br/>
      </w:r>
      <w:r>
        <w:rPr>
          <w:rFonts w:ascii="Tahoma" w:hAnsi="Tahoma" w:cs="Tahoma"/>
          <w:color w:val="808080"/>
          <w:sz w:val="16"/>
          <w:szCs w:val="16"/>
          <w:lang w:eastAsia="lv-LV"/>
        </w:rPr>
        <w:br/>
        <w:t>Ūnijas iela 45,Rīga, LV-1039</w:t>
      </w:r>
      <w:r>
        <w:rPr>
          <w:rFonts w:ascii="Tahoma" w:hAnsi="Tahoma" w:cs="Tahoma"/>
          <w:color w:val="808080"/>
          <w:sz w:val="16"/>
          <w:szCs w:val="16"/>
          <w:lang w:eastAsia="lv-LV"/>
        </w:rPr>
        <w:br/>
      </w:r>
      <w:hyperlink r:id="rId8" w:history="1">
        <w:r>
          <w:rPr>
            <w:rStyle w:val="Hyperlink"/>
            <w:rFonts w:ascii="Tahoma" w:hAnsi="Tahoma" w:cs="Tahoma"/>
            <w:sz w:val="16"/>
            <w:szCs w:val="16"/>
            <w:lang w:eastAsia="lv-LV"/>
          </w:rPr>
          <w:t>www.sprk.gov.lv</w:t>
        </w:r>
      </w:hyperlink>
      <w:r>
        <w:rPr>
          <w:rFonts w:ascii="Tahoma" w:hAnsi="Tahoma" w:cs="Tahoma"/>
          <w:color w:val="808080"/>
          <w:sz w:val="16"/>
          <w:szCs w:val="16"/>
          <w:lang w:eastAsia="lv-LV"/>
        </w:rPr>
        <w:br/>
      </w:r>
      <w:r>
        <w:rPr>
          <w:noProof/>
        </w:rPr>
        <w:drawing>
          <wp:anchor distT="0" distB="0" distL="0" distR="0" simplePos="0" relativeHeight="251658240" behindDoc="0" locked="0" layoutInCell="1" allowOverlap="1" wp14:anchorId="15C8DCBD" wp14:editId="6C4735B9">
            <wp:simplePos x="0" y="0"/>
            <wp:positionH relativeFrom="column">
              <wp:posOffset>-3175</wp:posOffset>
            </wp:positionH>
            <wp:positionV relativeFrom="paragraph">
              <wp:posOffset>792480</wp:posOffset>
            </wp:positionV>
            <wp:extent cx="142875" cy="142875"/>
            <wp:effectExtent l="0" t="0" r="9525" b="9525"/>
            <wp:wrapSquare wrapText="bothSides"/>
            <wp:docPr id="6"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55C90757" wp14:editId="5CB1EC1D">
            <wp:simplePos x="0" y="0"/>
            <wp:positionH relativeFrom="column">
              <wp:posOffset>151130</wp:posOffset>
            </wp:positionH>
            <wp:positionV relativeFrom="paragraph">
              <wp:posOffset>792480</wp:posOffset>
            </wp:positionV>
            <wp:extent cx="36195" cy="142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1C2B75CA" wp14:editId="77A186DF">
            <wp:simplePos x="0" y="0"/>
            <wp:positionH relativeFrom="column">
              <wp:posOffset>186690</wp:posOffset>
            </wp:positionH>
            <wp:positionV relativeFrom="paragraph">
              <wp:posOffset>792480</wp:posOffset>
            </wp:positionV>
            <wp:extent cx="142875" cy="142875"/>
            <wp:effectExtent l="0" t="0" r="9525" b="9525"/>
            <wp:wrapSquare wrapText="bothSides"/>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4A529069" wp14:editId="6325384C">
            <wp:simplePos x="0" y="0"/>
            <wp:positionH relativeFrom="column">
              <wp:posOffset>340995</wp:posOffset>
            </wp:positionH>
            <wp:positionV relativeFrom="paragraph">
              <wp:posOffset>792480</wp:posOffset>
            </wp:positionV>
            <wp:extent cx="36195" cy="1428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5C7AF7AA" wp14:editId="3139AAAB">
            <wp:simplePos x="0" y="0"/>
            <wp:positionH relativeFrom="column">
              <wp:posOffset>376555</wp:posOffset>
            </wp:positionH>
            <wp:positionV relativeFrom="paragraph">
              <wp:posOffset>792480</wp:posOffset>
            </wp:positionV>
            <wp:extent cx="142875" cy="142875"/>
            <wp:effectExtent l="0" t="0" r="9525" b="9525"/>
            <wp:wrapSquare wrapText="bothSides"/>
            <wp:docPr id="2"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FF0000"/>
          <w:sz w:val="16"/>
          <w:szCs w:val="16"/>
          <w:lang w:eastAsia="lv-LV"/>
        </w:rPr>
        <w:br/>
      </w:r>
      <w:r>
        <w:rPr>
          <w:rFonts w:ascii="Tahoma" w:hAnsi="Tahoma" w:cs="Tahoma"/>
          <w:color w:val="FF0000"/>
          <w:sz w:val="16"/>
          <w:szCs w:val="16"/>
          <w:lang w:eastAsia="lv-LV"/>
        </w:rPr>
        <w:br/>
        <w:t xml:space="preserve">E-pasts un tā pielikumi satur informāciju, kas paredzēta darba vajadzībām un ir paredzēti tikai tā saņēmējam. </w:t>
      </w:r>
      <w:r>
        <w:rPr>
          <w:rFonts w:ascii="Tahoma" w:hAnsi="Tahoma" w:cs="Tahoma"/>
          <w:color w:val="000000"/>
          <w:sz w:val="16"/>
          <w:szCs w:val="16"/>
          <w:lang w:eastAsia="lv-LV"/>
        </w:rPr>
        <w:t>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lang w:eastAsia="lv-LV"/>
        </w:rPr>
        <w:br/>
      </w:r>
      <w:r>
        <w:rPr>
          <w:rFonts w:ascii="Tahoma" w:hAnsi="Tahoma" w:cs="Tahoma"/>
          <w:color w:val="000000"/>
          <w:sz w:val="16"/>
          <w:szCs w:val="16"/>
          <w:lang w:eastAsia="lv-LV"/>
        </w:rPr>
        <w:br/>
        <w:t>Rūpējoties par drošību, turpinām ievērot piesardzības pasākumus un aicinām izvērtēt nepieciešamību tikties klātienē. Saziņai lūdzam izmantot telefonu, e-pastu vai citus elektroniskos saziņas līdzekļus.</w:t>
      </w:r>
    </w:p>
    <w:p w14:paraId="0452C056" w14:textId="77777777" w:rsidR="00826C47" w:rsidRDefault="00826C47" w:rsidP="00826C47"/>
    <w:bookmarkEnd w:id="0"/>
    <w:p w14:paraId="5118D9E2" w14:textId="77777777" w:rsidR="00826C47" w:rsidRDefault="00826C47" w:rsidP="00826C47"/>
    <w:p w14:paraId="0A037E69" w14:textId="77777777" w:rsidR="00C02DAD" w:rsidRDefault="00C02DAD"/>
    <w:sectPr w:rsidR="00C02D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A407A"/>
    <w:multiLevelType w:val="hybridMultilevel"/>
    <w:tmpl w:val="934EC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47"/>
    <w:rsid w:val="00826C47"/>
    <w:rsid w:val="00C02D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D4FC21D"/>
  <w15:chartTrackingRefBased/>
  <w15:docId w15:val="{15D487BB-2CFE-4697-9C3F-E535846C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C4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6C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4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sprk.gov.lv"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sprk_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prk.gov.lv/" TargetMode="External"/><Relationship Id="rId11" Type="http://schemas.openxmlformats.org/officeDocument/2006/relationships/image" Target="media/image3.png"/><Relationship Id="rId5" Type="http://schemas.openxmlformats.org/officeDocument/2006/relationships/hyperlink" Target="mailto:pasts@varam.gov.lv" TargetMode="Externa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facebook.com/SabiedriskoPakalpojumuRegulators/" TargetMode="External"/><Relationship Id="rId14" Type="http://schemas.openxmlformats.org/officeDocument/2006/relationships/hyperlink" Target="https://www.linkedin.com/company/public-utilities-commission-of-latvi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2037</Words>
  <Characters>1162</Characters>
  <Application>Microsoft Office Word</Application>
  <DocSecurity>0</DocSecurity>
  <Lines>9</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1</cp:revision>
  <dcterms:created xsi:type="dcterms:W3CDTF">2021-12-09T11:27:00Z</dcterms:created>
  <dcterms:modified xsi:type="dcterms:W3CDTF">2021-12-09T11:27:00Z</dcterms:modified>
</cp:coreProperties>
</file>