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2B34B" w14:textId="77777777" w:rsidR="00AF393F" w:rsidRPr="008953C0" w:rsidRDefault="00AF393F" w:rsidP="00CF498E">
      <w:pPr>
        <w:pStyle w:val="Heading1"/>
        <w:spacing w:before="0"/>
        <w:contextualSpacing/>
        <w:rPr>
          <w:rFonts w:ascii="Times New Roman" w:eastAsia="Calibri" w:hAnsi="Times New Roman" w:cs="Times New Roman"/>
          <w:color w:val="auto"/>
          <w:sz w:val="23"/>
          <w:szCs w:val="23"/>
        </w:rPr>
      </w:pPr>
      <w:r w:rsidRPr="008953C0">
        <w:rPr>
          <w:rFonts w:ascii="Times New Roman" w:eastAsia="Calibri" w:hAnsi="Times New Roman" w:cs="Times New Roman"/>
          <w:color w:val="auto"/>
          <w:sz w:val="23"/>
          <w:szCs w:val="23"/>
        </w:rPr>
        <w:t>Uz 01.04.2021. VSS prot. Nr. 13 3. § (VSS-307)</w:t>
      </w:r>
    </w:p>
    <w:p w14:paraId="3D9834DE" w14:textId="77777777" w:rsidR="008953C0" w:rsidRPr="008953C0" w:rsidRDefault="008953C0" w:rsidP="008953C0">
      <w:pPr>
        <w:ind w:left="-142" w:firstLine="851"/>
        <w:contextualSpacing/>
        <w:jc w:val="right"/>
        <w:rPr>
          <w:b/>
          <w:sz w:val="23"/>
          <w:szCs w:val="23"/>
        </w:rPr>
      </w:pPr>
    </w:p>
    <w:p w14:paraId="37D530F8" w14:textId="2E66ECD3" w:rsidR="00AF393F" w:rsidRPr="008953C0" w:rsidRDefault="00AF393F" w:rsidP="008953C0">
      <w:pPr>
        <w:ind w:left="-142" w:firstLine="851"/>
        <w:contextualSpacing/>
        <w:jc w:val="right"/>
        <w:rPr>
          <w:b/>
          <w:sz w:val="23"/>
          <w:szCs w:val="23"/>
        </w:rPr>
      </w:pPr>
      <w:r w:rsidRPr="008953C0">
        <w:rPr>
          <w:b/>
          <w:sz w:val="23"/>
          <w:szCs w:val="23"/>
        </w:rPr>
        <w:t>Ekonomikas ministrijai</w:t>
      </w:r>
    </w:p>
    <w:p w14:paraId="08C46314" w14:textId="77777777" w:rsidR="00AF393F" w:rsidRPr="008953C0" w:rsidRDefault="00AF393F" w:rsidP="00CF498E">
      <w:pPr>
        <w:pStyle w:val="NoSpacing"/>
        <w:tabs>
          <w:tab w:val="left" w:pos="4253"/>
        </w:tabs>
        <w:ind w:right="4832"/>
        <w:contextualSpacing/>
        <w:rPr>
          <w:i/>
          <w:sz w:val="23"/>
          <w:szCs w:val="23"/>
        </w:rPr>
      </w:pPr>
    </w:p>
    <w:p w14:paraId="7119A697" w14:textId="712821AF" w:rsidR="00AF393F" w:rsidRPr="008953C0" w:rsidRDefault="008953C0" w:rsidP="008953C0">
      <w:pPr>
        <w:pStyle w:val="NoSpacing"/>
        <w:ind w:right="4690"/>
        <w:contextualSpacing/>
        <w:rPr>
          <w:i/>
          <w:sz w:val="23"/>
          <w:szCs w:val="23"/>
        </w:rPr>
      </w:pPr>
      <w:r w:rsidRPr="008953C0">
        <w:rPr>
          <w:i/>
          <w:sz w:val="23"/>
          <w:szCs w:val="23"/>
        </w:rPr>
        <w:t>Papildinājums Tieslietu ministrijas 2021. gada 26. aprīļa atzinumam Nr. 1-9.1/460 p</w:t>
      </w:r>
      <w:r w:rsidR="00AF393F" w:rsidRPr="008953C0">
        <w:rPr>
          <w:i/>
          <w:sz w:val="23"/>
          <w:szCs w:val="23"/>
        </w:rPr>
        <w:t>ar likumprojektu "Grozījumi Enerģētikas likumā"</w:t>
      </w:r>
      <w:r w:rsidRPr="008953C0">
        <w:rPr>
          <w:i/>
          <w:sz w:val="23"/>
          <w:szCs w:val="23"/>
        </w:rPr>
        <w:t xml:space="preserve"> un tā anotāciju</w:t>
      </w:r>
      <w:r w:rsidR="00AF393F" w:rsidRPr="008953C0">
        <w:rPr>
          <w:i/>
          <w:sz w:val="23"/>
          <w:szCs w:val="23"/>
        </w:rPr>
        <w:t xml:space="preserve"> (VSS-307)</w:t>
      </w:r>
    </w:p>
    <w:p w14:paraId="0018F522" w14:textId="77777777" w:rsidR="00AF393F" w:rsidRPr="008953C0" w:rsidRDefault="00AF393F" w:rsidP="00CF498E">
      <w:pPr>
        <w:contextualSpacing/>
        <w:rPr>
          <w:sz w:val="23"/>
          <w:szCs w:val="23"/>
        </w:rPr>
      </w:pPr>
    </w:p>
    <w:p w14:paraId="5880B9A5" w14:textId="77777777" w:rsidR="00AF393F" w:rsidRPr="008953C0" w:rsidRDefault="00AF393F" w:rsidP="00CF498E">
      <w:pPr>
        <w:tabs>
          <w:tab w:val="left" w:pos="851"/>
        </w:tabs>
        <w:ind w:firstLine="567"/>
        <w:contextualSpacing/>
        <w:rPr>
          <w:iCs/>
          <w:sz w:val="23"/>
          <w:szCs w:val="23"/>
        </w:rPr>
      </w:pPr>
      <w:r w:rsidRPr="008953C0">
        <w:rPr>
          <w:iCs/>
          <w:sz w:val="23"/>
          <w:szCs w:val="23"/>
        </w:rPr>
        <w:t>Tieslietu ministrija ir izskatījusi Ekonomikas ministrijas sagatavoto likumprojektu "Grozījumi Enerģētikas likumā" (turpmāk – projekts) un tā anotāciju un atbalsta to virzību, papildinot Tieslietu ministrijas 2021. gada 26. aprīļa atzinumā Nr. 1-9.1/460 (turpmāk – Atzinums) pausto viedokļi ar šādiem iebildumiem:</w:t>
      </w:r>
    </w:p>
    <w:p w14:paraId="5D5ED3CB" w14:textId="77777777" w:rsidR="00AF393F" w:rsidRPr="008953C0" w:rsidRDefault="00AF393F" w:rsidP="00CF498E">
      <w:pPr>
        <w:pStyle w:val="ListParagraph"/>
        <w:numPr>
          <w:ilvl w:val="0"/>
          <w:numId w:val="14"/>
        </w:numPr>
        <w:ind w:left="0" w:firstLine="633"/>
        <w:rPr>
          <w:sz w:val="23"/>
          <w:szCs w:val="23"/>
        </w:rPr>
      </w:pPr>
      <w:r w:rsidRPr="008953C0">
        <w:rPr>
          <w:iCs/>
          <w:sz w:val="23"/>
          <w:szCs w:val="23"/>
        </w:rPr>
        <w:t xml:space="preserve">Papildinot Atzinuma 1. iebildumu, norādām, ka ar projekta </w:t>
      </w:r>
      <w:r w:rsidRPr="008953C0">
        <w:rPr>
          <w:sz w:val="23"/>
          <w:szCs w:val="23"/>
        </w:rPr>
        <w:t>1. pantu ir paredzēts definēt jēdzienu “Atbalsta shēma”, kas cita starpā ietver tiesības paredzēt, ka enerģijas lietotājam ir pienākums nodrošināt, ka konkrēta patērētās enerģijas daļa ir atjaunojamā enerģija.</w:t>
      </w:r>
    </w:p>
    <w:p w14:paraId="19F00CF5" w14:textId="77777777" w:rsidR="00AF393F" w:rsidRPr="008953C0" w:rsidRDefault="00AF393F" w:rsidP="00CF498E">
      <w:pPr>
        <w:ind w:firstLine="567"/>
        <w:contextualSpacing/>
        <w:rPr>
          <w:sz w:val="23"/>
          <w:szCs w:val="23"/>
        </w:rPr>
      </w:pPr>
      <w:r w:rsidRPr="008953C0">
        <w:rPr>
          <w:sz w:val="23"/>
          <w:szCs w:val="23"/>
        </w:rPr>
        <w:t xml:space="preserve">Par minētā jēdziena saturu anotācijā nav sniegts skaidrojums. Vienlaikus Enerģētikas likumā ir definēts gan enerģijas lietotājs, gan galalietotājs, saistītais lietotājs, kā arī mājsaimniecības lietotājs. Šobrīd īsti nav skaidrs, vai, piemēram, jēdziens “enerģijas lietotājs” aptver pārējos šaurākos jēdzienus vai ir nošķirams no tiem. No minētā ir atkarīgs, kam ir paredzēts noteikt pienākumus nodrošināt saņemtās enerģijas proporciju. Vēršam uzmanību, ka enerģijas tirgus ir pamatā regulēts un energoapgāde pamatā notiek pa centralizētiem tīkliem, kur enerģijas saņēmējam īsti nav iespējams neko nodrošināt. Ņemot vērā, ka likumā paredzētais jēdziens būs tiesiskais pamats jau, lai noteiktu pienākumus personām, būtu jābūt skaidrai vīzijai, kāds ir tās tvērums un kam un uz kādiem pamatiem ir paredzēts noteikt ierobežojumus. Ja runa ir tikai par tādiem lietotājiem, kas paši arī ražo sevis patērēto enerģiju, šim mērķim un apsvērumiem, kas ir tā pamatā, būtu jābūt identificējamam. </w:t>
      </w:r>
    </w:p>
    <w:p w14:paraId="292DD04C" w14:textId="593125B9" w:rsidR="00AF393F" w:rsidRPr="008953C0" w:rsidRDefault="00F957BA" w:rsidP="00CF498E">
      <w:pPr>
        <w:ind w:firstLine="567"/>
        <w:contextualSpacing/>
        <w:rPr>
          <w:sz w:val="23"/>
          <w:szCs w:val="23"/>
        </w:rPr>
      </w:pPr>
      <w:r w:rsidRPr="008953C0">
        <w:rPr>
          <w:sz w:val="23"/>
          <w:szCs w:val="23"/>
          <w:u w:val="single"/>
        </w:rPr>
        <w:t>Ievērojot minēto, l</w:t>
      </w:r>
      <w:r w:rsidR="00AF393F" w:rsidRPr="008953C0">
        <w:rPr>
          <w:sz w:val="23"/>
          <w:szCs w:val="23"/>
          <w:u w:val="single"/>
        </w:rPr>
        <w:t>ūdzam anotācijā skaidrot projekta 1. pantā ietvertā jēdziena “Atbalsta shēma” saturu attiecībā uz pienākumu noteikšanu lietotājiem.</w:t>
      </w:r>
    </w:p>
    <w:p w14:paraId="5D9CBD6A" w14:textId="77777777" w:rsidR="00AF393F" w:rsidRPr="008953C0" w:rsidRDefault="00AF393F" w:rsidP="00CF498E">
      <w:pPr>
        <w:pStyle w:val="ListParagraph"/>
        <w:numPr>
          <w:ilvl w:val="0"/>
          <w:numId w:val="14"/>
        </w:numPr>
        <w:ind w:left="0" w:firstLine="567"/>
        <w:rPr>
          <w:sz w:val="23"/>
          <w:szCs w:val="23"/>
        </w:rPr>
      </w:pPr>
      <w:r w:rsidRPr="008953C0">
        <w:rPr>
          <w:sz w:val="23"/>
          <w:szCs w:val="23"/>
        </w:rPr>
        <w:t xml:space="preserve">Ņemot vērā 1. punktā minēto par </w:t>
      </w:r>
      <w:r w:rsidRPr="008953C0">
        <w:rPr>
          <w:i/>
          <w:iCs/>
          <w:sz w:val="23"/>
          <w:szCs w:val="23"/>
        </w:rPr>
        <w:t xml:space="preserve">atbalsts shēmām </w:t>
      </w:r>
      <w:r w:rsidRPr="008953C0">
        <w:rPr>
          <w:sz w:val="23"/>
          <w:szCs w:val="23"/>
        </w:rPr>
        <w:t xml:space="preserve">un papildinot Atzinuma 11. iebildumu, norādām, ka ar projekta 22. pantu ir paredzēts pašvaldībai paredzēt tiesības noteikt siltumapgādes risinājumu veidus attiecīgās pašvaldību teritorijas daļās, tostarp noteikt pienākumu pieslēgties centrālajai siltumapgādes sistēmai, kur tas ir ekonomiski un tehniski pamatoti, vai izmantot citu atjaunojamo energoresursu vai </w:t>
      </w:r>
      <w:proofErr w:type="spellStart"/>
      <w:r w:rsidRPr="008953C0">
        <w:rPr>
          <w:sz w:val="23"/>
          <w:szCs w:val="23"/>
        </w:rPr>
        <w:t>bezemisiju</w:t>
      </w:r>
      <w:proofErr w:type="spellEnd"/>
      <w:r w:rsidRPr="008953C0">
        <w:rPr>
          <w:sz w:val="23"/>
          <w:szCs w:val="23"/>
        </w:rPr>
        <w:t xml:space="preserve"> siltumapgādes tehnoloģijas avotu (piedāvātā Enerģētikas likuma 51. panta trešā daļa).</w:t>
      </w:r>
    </w:p>
    <w:p w14:paraId="611B6220" w14:textId="77777777" w:rsidR="00AF393F" w:rsidRPr="008953C0" w:rsidRDefault="00AF393F" w:rsidP="00CF498E">
      <w:pPr>
        <w:ind w:firstLine="567"/>
        <w:contextualSpacing/>
        <w:rPr>
          <w:sz w:val="23"/>
          <w:szCs w:val="23"/>
        </w:rPr>
      </w:pPr>
      <w:r w:rsidRPr="008953C0">
        <w:rPr>
          <w:sz w:val="23"/>
          <w:szCs w:val="23"/>
        </w:rPr>
        <w:t xml:space="preserve">Vēršam uzmanību, ka anotācijā ir mulsinošs skaidrojums minētajam deleģējumam – “skaidri un nepārprotami jāpiešķir pašvaldībām deleģējums to saistošajos noteikumos ierobežot personas tiesības izvēlēties siltumapgādes risinājumus, tai skaitā noteikt pienākumu pieslēgties centralizētajai siltumapgādei, ja tas ir ekonomiski un tehniski pamatots vai izvēlētā alternatīva ir no AER, vai izvēlētais individuālais siltumapgādes risinājums nav </w:t>
      </w:r>
      <w:proofErr w:type="spellStart"/>
      <w:r w:rsidRPr="008953C0">
        <w:rPr>
          <w:sz w:val="23"/>
          <w:szCs w:val="23"/>
        </w:rPr>
        <w:t>bezizmešu</w:t>
      </w:r>
      <w:proofErr w:type="spellEnd"/>
      <w:r w:rsidRPr="008953C0">
        <w:rPr>
          <w:sz w:val="23"/>
          <w:szCs w:val="23"/>
        </w:rPr>
        <w:t xml:space="preserve">” (anotācijas I sadaļas 2. punkta 51. apakšpunkts). Jānorāda, ka šādu deleģējumu ir iespējams interpretēt dažādi, kas var novest pie pārpratumiem piemērotāju starpā, uz kā bāzes var tikt noteikti nepamatoti īpašuma tiesību </w:t>
      </w:r>
      <w:r w:rsidRPr="008953C0">
        <w:rPr>
          <w:sz w:val="23"/>
          <w:szCs w:val="23"/>
        </w:rPr>
        <w:lastRenderedPageBreak/>
        <w:t>aprobežojumi. Papildinot, ko jau norādījām savā Atzinumā, no vienas puses, sistēmiski vērtējot, ir secināms, ka leģitīma sabiedrības interese ir veicināt atjaunojamu resursu izmantošanu un novērst vides piesārņojuma radīšanu. Tādā kontekstā minētā norma būtu interpretējama, ka pašvaldība saistošajos noteikumos var prasīt nepiesārņot. Attiecīgi nepiesārņošanas iespējas ir dažādas – izmantot centralizēto sistēmu, kas nodrošina nepiesārņojošu siltumapgādi vai izvēlēties individuālus risinājumus, kas nerada piesārņojumu.</w:t>
      </w:r>
    </w:p>
    <w:p w14:paraId="72903E90" w14:textId="77777777" w:rsidR="00AF393F" w:rsidRPr="008953C0" w:rsidRDefault="00AF393F" w:rsidP="00CF498E">
      <w:pPr>
        <w:ind w:firstLine="567"/>
        <w:contextualSpacing/>
        <w:rPr>
          <w:sz w:val="23"/>
          <w:szCs w:val="23"/>
        </w:rPr>
      </w:pPr>
      <w:r w:rsidRPr="008953C0">
        <w:rPr>
          <w:sz w:val="23"/>
          <w:szCs w:val="23"/>
        </w:rPr>
        <w:t xml:space="preserve">No otras puses, minēto deleģējumu var interpretēt arī tā, ka pašvaldība ir tiesīga noteikt imperatīvu un vispārēju pienākumu pieslēgties centralizētai sistēmai. Turklāt ir pamats domāt, ka pastāvēs šāda interese. Minētais izriet no tā, kā Latvijā ir būvētas atbalsta sistēmas lietderīgu mērķu sasniegšanai. Pašvaldību projekti pārsvarā tiek īstenoti ar ES fondu finansējumu un pašu daļu, aizņemoties valsts kasē. Tas rada vēlmi īstenot projektus kā tādus, jo projekti nozīmē kontroli pār resursiem. Jo apjomīgāki projekti, jo lielāki resursi, ko kontrolēt. Turklāt resursi nav pašu, bet fondu un valsts kases finansējums. Minētie apstākļi var radīt vidi, kurā pašvaldības ir ieinteresētas īstenot projektus, kas nav dzīvotspējīgi, bet kuru dzīvotspēju nodrošinātu vispārīgs pienākums visiem tos izmantot. Šādi apstākļi parasti rada neefektīvas un nepamatoti dārgas sistēmas, jo regulētā tirgū tarifi tiek noteikti pēc izmaksām un izmaksas ir atkarīgas no projekta tehniskā risinājuma. T.i., slikts projekts rada izmaksas, kas rada dārgu tarifu, kas galā viss ir tiesiski pamatoti, pat ja absolūti nelietderīgi. Neefektīvu sistēmu piemērus var atrast atkritumu apsaimniekošanas jomā, kur pašvaldībām ir ļoti liela rīcības brīvība. Ir pašvaldības, kur visu nekustamo īpašumu īpašniekiem ir pienākums noslēgt līgumus ar pašvaldības izvēlētu komersantu un saistošie noteikumi neparedz objektīvā realitātē pastāvošas variācijas. Tādējādi arī tie īpašumi, kuros atkritumi netiek radīti, kuros netiek dzīvots, uzturēšanās ir īslaicīga vai visi radītie atkritumi tiek šķiroti, pašvaldības skatījumā ir tādi paši, kuros cilvēki dzīvo pastāvīgi. Līdz ar to personām ir pienākums slēgt līgumu, kura saturs paredz atkritumu izvešanu reizi nedēļā, par tarifu, kurā ietverti nodokļi, nodevas un izmaksas par pilna tilpuma konteineru vienkāršu aprakšanu poligonā. T.i., sistēma, kas neveicina šķirošanu, kurai konkrētos gadījumos nav nekāda sakara ar atkritumu apsaimniekošanu un kas būtībā ir būvēta, lai nodrošinātu tās rentabilitāti uz visu teritorijas īpašnieku rēķina. Savukārt vienīgais pamatojums īpašuma tiesību aprobežojumiem ir pašvaldības tiesības izdot saistošos noteikumus (t.i., pamatojuma un </w:t>
      </w:r>
      <w:proofErr w:type="spellStart"/>
      <w:r w:rsidRPr="008953C0">
        <w:rPr>
          <w:sz w:val="23"/>
          <w:szCs w:val="23"/>
        </w:rPr>
        <w:t>attaisnojamības</w:t>
      </w:r>
      <w:proofErr w:type="spellEnd"/>
      <w:r w:rsidRPr="008953C0">
        <w:rPr>
          <w:sz w:val="23"/>
          <w:szCs w:val="23"/>
        </w:rPr>
        <w:t xml:space="preserve"> </w:t>
      </w:r>
      <w:proofErr w:type="spellStart"/>
      <w:r w:rsidRPr="008953C0">
        <w:rPr>
          <w:sz w:val="23"/>
          <w:szCs w:val="23"/>
        </w:rPr>
        <w:t>izvērtējuma</w:t>
      </w:r>
      <w:proofErr w:type="spellEnd"/>
      <w:r w:rsidRPr="008953C0">
        <w:rPr>
          <w:sz w:val="23"/>
          <w:szCs w:val="23"/>
        </w:rPr>
        <w:t xml:space="preserve"> vispār nav).</w:t>
      </w:r>
    </w:p>
    <w:p w14:paraId="22BD0B75" w14:textId="77777777" w:rsidR="00AF393F" w:rsidRPr="008953C0" w:rsidRDefault="00AF393F" w:rsidP="00CF498E">
      <w:pPr>
        <w:ind w:firstLine="567"/>
        <w:contextualSpacing/>
        <w:rPr>
          <w:sz w:val="23"/>
          <w:szCs w:val="23"/>
        </w:rPr>
      </w:pPr>
      <w:r w:rsidRPr="008953C0">
        <w:rPr>
          <w:sz w:val="23"/>
          <w:szCs w:val="23"/>
        </w:rPr>
        <w:t xml:space="preserve">Ievērojot minēto, vēršam uzmanību, ka leģitīms mērķis ir novērst piesārņojuma radīšanu, bet leģitīms mērķis nav uzspiest noteiktu piesārņojuma novēršanas veidu kāda cita interesēs un kādam citam par labu. Sabiedrība var prasīt indivīdam nepiesārņot, bet sabiedrībai nav pamata likt indivīdam uzturēt citas personas projekta rentabilitāti. Tieslietu ministrijas ieskatā šobrīd nav argumentu, lai ierobežotu personas tiesības pašam izvēlēties siltumapgādes risinājumu, kamēr tas ir atbilstošs sabiedrības leģitīmām interesēm. Turklāt praksē var pastāvēt dažādi apsvērumi, kādēļ personas izvēlas citus risinājumus. Individuālas sistēmas, lai arī dārgākas (ja tās nerada emisijas), nodrošina neatkarību, jo var funkcionēt arī tādos apstākļos, kur centralizētās sistēmas nefunkcionē. Savukārt neefektīvas centralizētas sistēmas var pat būt dārgākas par individuālām, it īpaši, ja šo sistēmu dzīvotspēja ir būvēta uz pienākuma to lietot (nevis lietderības un efektivitātes apsvērumiem, kā arī cenas priekšrocībām, kas veicina to lietošanu). </w:t>
      </w:r>
      <w:r w:rsidRPr="008953C0">
        <w:rPr>
          <w:sz w:val="23"/>
          <w:szCs w:val="23"/>
        </w:rPr>
        <w:tab/>
      </w:r>
    </w:p>
    <w:p w14:paraId="496D45C5" w14:textId="5A5D3FF2" w:rsidR="00AF393F" w:rsidRPr="008953C0" w:rsidRDefault="00F957BA" w:rsidP="00CF498E">
      <w:pPr>
        <w:ind w:firstLine="567"/>
        <w:contextualSpacing/>
        <w:rPr>
          <w:sz w:val="23"/>
          <w:szCs w:val="23"/>
          <w:u w:val="single"/>
        </w:rPr>
      </w:pPr>
      <w:r w:rsidRPr="008953C0">
        <w:rPr>
          <w:sz w:val="23"/>
          <w:szCs w:val="23"/>
          <w:u w:val="single"/>
        </w:rPr>
        <w:t>Ievērojot minēto, l</w:t>
      </w:r>
      <w:r w:rsidR="00AF393F" w:rsidRPr="008953C0">
        <w:rPr>
          <w:sz w:val="23"/>
          <w:szCs w:val="23"/>
          <w:u w:val="single"/>
        </w:rPr>
        <w:t>ūdzam anotācijā skaidrot Likumprojekta 22. pantā paredzētā Enerģētikas likuma 51. panta trešajā daļā paredzētā deleģējuma tvērumu un robežas attiecībā uz pienākumu noteikšanu privātpersonām.</w:t>
      </w:r>
    </w:p>
    <w:p w14:paraId="03EAC9D9" w14:textId="77777777" w:rsidR="00626E90" w:rsidRPr="008953C0" w:rsidRDefault="00626E90" w:rsidP="00CF498E">
      <w:pPr>
        <w:pStyle w:val="ListParagraph"/>
        <w:numPr>
          <w:ilvl w:val="0"/>
          <w:numId w:val="14"/>
        </w:numPr>
        <w:ind w:left="0" w:firstLine="567"/>
        <w:rPr>
          <w:rFonts w:eastAsia="Times New Roman"/>
          <w:sz w:val="23"/>
          <w:szCs w:val="23"/>
          <w:lang w:eastAsia="lv-LV"/>
        </w:rPr>
      </w:pPr>
      <w:r w:rsidRPr="008953C0">
        <w:rPr>
          <w:sz w:val="23"/>
          <w:szCs w:val="23"/>
        </w:rPr>
        <w:t>Ar projekta 12. pantu cita starpā ir paredzēts Enerģētikas likuma 19. pantā papildināt 1.</w:t>
      </w:r>
      <w:r w:rsidRPr="008953C0">
        <w:rPr>
          <w:sz w:val="23"/>
          <w:szCs w:val="23"/>
          <w:vertAlign w:val="superscript"/>
        </w:rPr>
        <w:t>1</w:t>
      </w:r>
      <w:r w:rsidRPr="008953C0">
        <w:rPr>
          <w:sz w:val="23"/>
          <w:szCs w:val="23"/>
        </w:rPr>
        <w:t xml:space="preserve"> daļas 3.</w:t>
      </w:r>
      <w:r w:rsidRPr="008953C0">
        <w:rPr>
          <w:sz w:val="23"/>
          <w:szCs w:val="23"/>
          <w:vertAlign w:val="superscript"/>
        </w:rPr>
        <w:t>2</w:t>
      </w:r>
      <w:r w:rsidRPr="008953C0">
        <w:rPr>
          <w:sz w:val="23"/>
          <w:szCs w:val="23"/>
        </w:rPr>
        <w:t xml:space="preserve"> punktu aiz vārdiem “ir veikts ietekmes uz vidi novērtējums” ar vārdiem “vai pieņemts lēmums par ietekmes uz vidi novērtējuma procedūras nepiemērošanu”. Tieslietu ministrijas ieskatā normai būtu jāparedz lēmuma spēkā stāšanās (nevis pieņemšana), kā brīdis, kurā būtu iespējams ierosināt būvdarbu veikšanu.</w:t>
      </w:r>
    </w:p>
    <w:p w14:paraId="5F97FD68" w14:textId="77777777" w:rsidR="00626E90" w:rsidRPr="008953C0" w:rsidRDefault="00626E90" w:rsidP="00CF498E">
      <w:pPr>
        <w:ind w:firstLine="567"/>
        <w:contextualSpacing/>
        <w:rPr>
          <w:rFonts w:eastAsia="Times New Roman"/>
          <w:sz w:val="23"/>
          <w:szCs w:val="23"/>
          <w:lang w:eastAsia="lv-LV"/>
        </w:rPr>
      </w:pPr>
      <w:r w:rsidRPr="008953C0">
        <w:rPr>
          <w:sz w:val="23"/>
          <w:szCs w:val="23"/>
        </w:rPr>
        <w:t>Vienlaikus vēršam uzmanību, ka pastāv problēmas ar konceptuālo modeli dažādu aizsargājamo objektu celtniecībai uz svešas personas zemes un aprobežojumu esamību/neesamību vai noteikšanu šī procesa ietvaros, kā arī tā visa mijiedarbību ar aizsargjoslām. Lai arī Enerģētikas likuma 19. pants min gadījumus, kuros var nesaskaņot energoapgādes objekta celtniecību, tiesiskais pamats to celtniecībai ir tiesības uz svešu lietu esamība. Neatkarīgi no gadījuma saskaņā ar Enerģētikas likuma 19.</w:t>
      </w:r>
      <w:r w:rsidRPr="008953C0">
        <w:rPr>
          <w:sz w:val="23"/>
          <w:szCs w:val="23"/>
          <w:vertAlign w:val="superscript"/>
        </w:rPr>
        <w:t>1</w:t>
      </w:r>
      <w:r w:rsidRPr="008953C0">
        <w:rPr>
          <w:sz w:val="23"/>
          <w:szCs w:val="23"/>
        </w:rPr>
        <w:t xml:space="preserve"> pantu energoapgādes objektu ierīkošanai ir nodibināmi aprobežojumi, kas vismaz hipotētiski ir tiesiskais </w:t>
      </w:r>
      <w:r w:rsidRPr="008953C0">
        <w:rPr>
          <w:sz w:val="23"/>
          <w:szCs w:val="23"/>
        </w:rPr>
        <w:lastRenderedPageBreak/>
        <w:t xml:space="preserve">pamats, lai ierosinātu celtniecību uz svešas zemes. Tāpat arī šādi aprobežojumi nošķir tiesisko pamatu būvniecībai, no aizsargjoslu regulējuma, kas aizsargā objektu un tā valdītāju pēc objekta nodošanas ekspluatācijā. Vienlaikus, šobrīd nav skaidrs, kas šie aprobežojumi ir (aprobežojums nav gatavs tiesību institūts, bet vispārīgs apzīmējums īpašuma tiesībā ietilpstošās varas sašaurināšanai), AS </w:t>
      </w:r>
      <w:proofErr w:type="spellStart"/>
      <w:r w:rsidRPr="008953C0">
        <w:rPr>
          <w:sz w:val="23"/>
          <w:szCs w:val="23"/>
        </w:rPr>
        <w:t>Augstprieguma</w:t>
      </w:r>
      <w:proofErr w:type="spellEnd"/>
      <w:r w:rsidRPr="008953C0">
        <w:rPr>
          <w:sz w:val="23"/>
          <w:szCs w:val="23"/>
        </w:rPr>
        <w:t xml:space="preserve"> tīkls saskaras ar problēmām to ierakstīšanā zemesgrāmatās (problēmām nav prakses risinājuma). Lai arī no grozījumiem, ar kuriem Enerģētikas likums tika papildināts ar 19.</w:t>
      </w:r>
      <w:r w:rsidRPr="008953C0">
        <w:rPr>
          <w:sz w:val="23"/>
          <w:szCs w:val="23"/>
          <w:vertAlign w:val="superscript"/>
        </w:rPr>
        <w:t xml:space="preserve">1 </w:t>
      </w:r>
      <w:r w:rsidRPr="008953C0">
        <w:rPr>
          <w:sz w:val="23"/>
          <w:szCs w:val="23"/>
        </w:rPr>
        <w:t xml:space="preserve">pantu, noprotams, ka Ekonomikas ministrija tajā laikā aprobežojuma jēdzienu uzskatīja kā gatavu, izmantojamu tiesību institūtu, nav skaidrs, no kurienes radies šāds priekšstats, jo tas neatbilst Civillikumam (un citur nav definēts). Detalizēts Tieslietu ministrijas viedoklis par šo jautājumu un tā problemātiku ir pieejams pielikumā esošajās vēstulēs. </w:t>
      </w:r>
    </w:p>
    <w:p w14:paraId="53C41685" w14:textId="6D6EF115" w:rsidR="00626E90" w:rsidRPr="008953C0" w:rsidRDefault="00626E90" w:rsidP="00CF498E">
      <w:pPr>
        <w:ind w:firstLine="567"/>
        <w:contextualSpacing/>
        <w:rPr>
          <w:sz w:val="23"/>
          <w:szCs w:val="23"/>
        </w:rPr>
      </w:pPr>
      <w:r w:rsidRPr="008953C0">
        <w:rPr>
          <w:sz w:val="23"/>
          <w:szCs w:val="23"/>
        </w:rPr>
        <w:t>Ievērojot minēto, vēršam uzmanību, ka bez tiesības esamības vai īpašnieka paša piekrišanas, celtniecību ierosināt nevar. Tiesību uz svešu lietu iegūt esošās sistēmas ietvaros ir iespējams tikai divos veidos – vienojoties ar nekustamā īpašuma īpašnieku; ja vienošanās nav iespējama, tiesai nosakot aprobežojumu nekustamam īpašumam. Savukārt, tā kā aprobežojums pēc būtības nav definēts (tam trūkst būtisko raksturojošo noteikumu (kas ir tiesīgā persona, kā tas tiek nodibināts, kā tas tiek izbeigts, kādas ir aprobežotās personas tiesības)), lai tas būtu funkcionēt spējīgs, būtībā šobrīd ir iespējams izmantot tikai esošas lietu tiesības, kas jau vēsturiski Ekonomikas ministrijas ieskatā nav piemērotas enerģētikas nozarei. Tādējādi, ja šobrīd ir paredzēti objekti, kuri tiks virzīti noteikšanai par nacionālajiem interešu objektiem, esošās neskaidrības ar konceptuālo modeli var radīt būtiskas problēmas tos īstenot vai īstenot noteiktos laika logos. Līdz ar to, Tieslietu ministrija aicina Ekonomikas ministriju domāt par, iespējams, jauna tiesību institūta (lietu tiesības) radīšanu un esošās sistēmas pārskatīšanu, lai virzītos uz tāda modeļa radīšanu, kas ir skaidrs, funkcionē un uztur līdzsvaru iesaistīto personu tiesībās un pienākumos.</w:t>
      </w:r>
    </w:p>
    <w:p w14:paraId="55D64CC2" w14:textId="26380413" w:rsidR="00626E90" w:rsidRPr="008953C0" w:rsidRDefault="00626E90" w:rsidP="00CF498E">
      <w:pPr>
        <w:ind w:firstLine="567"/>
        <w:contextualSpacing/>
        <w:rPr>
          <w:sz w:val="23"/>
          <w:szCs w:val="23"/>
          <w:u w:val="single"/>
        </w:rPr>
      </w:pPr>
      <w:r w:rsidRPr="008953C0">
        <w:rPr>
          <w:sz w:val="23"/>
          <w:szCs w:val="23"/>
          <w:u w:val="single"/>
        </w:rPr>
        <w:t>Ievērojot minēto, lūdzam normu precizēt, atkārtoti izvērtēt problemātiku un iespējamo risinājumu</w:t>
      </w:r>
      <w:r w:rsidR="00483D66" w:rsidRPr="008953C0">
        <w:rPr>
          <w:sz w:val="23"/>
          <w:szCs w:val="23"/>
          <w:u w:val="single"/>
        </w:rPr>
        <w:t>.</w:t>
      </w:r>
      <w:r w:rsidR="006F7561" w:rsidRPr="008953C0">
        <w:rPr>
          <w:sz w:val="23"/>
          <w:szCs w:val="23"/>
          <w:u w:val="single"/>
        </w:rPr>
        <w:t xml:space="preserve"> Lūdzam iepazīties </w:t>
      </w:r>
      <w:r w:rsidR="00A13C55" w:rsidRPr="008953C0">
        <w:rPr>
          <w:sz w:val="23"/>
          <w:szCs w:val="23"/>
          <w:u w:val="single"/>
        </w:rPr>
        <w:t>ar atzinumam pievienoto dokumentu saturu.</w:t>
      </w:r>
    </w:p>
    <w:p w14:paraId="6D38CA1F" w14:textId="77777777" w:rsidR="00F957BA" w:rsidRPr="008953C0" w:rsidRDefault="00AF393F" w:rsidP="00CF498E">
      <w:pPr>
        <w:pStyle w:val="ListParagraph"/>
        <w:numPr>
          <w:ilvl w:val="0"/>
          <w:numId w:val="14"/>
        </w:numPr>
        <w:ind w:left="0" w:firstLine="567"/>
        <w:rPr>
          <w:sz w:val="23"/>
          <w:szCs w:val="23"/>
        </w:rPr>
      </w:pPr>
      <w:r w:rsidRPr="008953C0">
        <w:rPr>
          <w:sz w:val="23"/>
          <w:szCs w:val="23"/>
        </w:rPr>
        <w:t>Ar projekta 14. pantu cita starpā ir paredzēts izteikt Enerģētikas likuma 23. panta otro daļu jaunā redakcijā, kas noteiktu, ka: “</w:t>
      </w:r>
      <w:r w:rsidRPr="008953C0">
        <w:rPr>
          <w:i/>
          <w:iCs/>
          <w:sz w:val="23"/>
          <w:szCs w:val="23"/>
        </w:rPr>
        <w:t>Esošo energoapgādes komersantu objektu pārvietošanu pēc pamatotas pārvietošanas prasības veic par pārvietošanas ierosinātāja līdzekļiem</w:t>
      </w:r>
      <w:r w:rsidRPr="008953C0">
        <w:rPr>
          <w:sz w:val="23"/>
          <w:szCs w:val="23"/>
        </w:rPr>
        <w:t xml:space="preserve">.” </w:t>
      </w:r>
      <w:r w:rsidR="00FA1C63" w:rsidRPr="008953C0">
        <w:rPr>
          <w:sz w:val="23"/>
          <w:szCs w:val="23"/>
        </w:rPr>
        <w:t>A</w:t>
      </w:r>
      <w:r w:rsidRPr="008953C0">
        <w:rPr>
          <w:sz w:val="23"/>
          <w:szCs w:val="23"/>
        </w:rPr>
        <w:t>notācijā pamatojums šādam grozījumam nav ietverts, lai arī no redakcijas ir skaidrs, ka ar to ir paredzēts paplašināt personu loku, kas var ierosināt objekta pārvietošanu un attiecīgi segt ar to saistītās izmaksas. Informējam, ka Tieslietu ministrijas ieskatā šāda norma ir nepilnīga un konkrētos gadījumos nepamatoti aizskar personas tiesības uz īpašumu. Tā ir būvēta tikai no vienas puses (objekta valdītāja) interešu aizsardzības skatu punkta, vispār neapsverot otras puses aizsargājamās intereses. Šāda nostāja izriet no tā, ka norma neaptver dabā pastāvošus gadījumus, kur būvdarbi, kas var skart aizsargājamo objektu, tiek veikti, ne tikai personas vēlmes dēļ, bet arī nepieciešamas un objektīvas vajadzības dēļ (norma prezumē, ka būvdarbi notiek tikai tādēļ, ka to ierosinātājs to dara pēc sevis paša ieskatiem). Tieslietu ministrija savā praksē ir saskārusies ar gadījumiem, kuros pašvaldība no vienas puses pieprasa veikt būves konservāciju, savukārt pašvaldības aģentūra bloķē būvatļaujas izdošanu konservācijai, jo pieprasa nodrošināt, ka ēkas siena, ko tā izmanto kā balstu, tiek saglabāta un persona turpina to uzturēt. T.i., aizsargājamā objekta valdītājs pieprasa, ka īpašnieks nodrošina nekustamā īpašuma nepastāvīgu īpašību saglabāšanu nenoteiktā laika posmā, lai arī šo īpašību esamība ir nodrošinājusi ekonomiskas priekšrocības (zemākas izmaksas objekta ierīkošanai). Vienlaikus normatīvo aktu sistēma, kas paredz kompensācijas par aprobežojumiem dažādu objektu celtniecībai, neņem vērā apsvērumus, ka pašam īpašniekam būs jāfinansē objekta aizsardzība vai pārvietošana, kad esošas nekustamā īpašuma īpašības būs zudušas.</w:t>
      </w:r>
    </w:p>
    <w:p w14:paraId="6F34C051" w14:textId="3B1D38B7" w:rsidR="00F957BA" w:rsidRPr="008953C0" w:rsidRDefault="00F957BA" w:rsidP="00CF498E">
      <w:pPr>
        <w:ind w:firstLine="567"/>
        <w:contextualSpacing/>
        <w:rPr>
          <w:sz w:val="23"/>
          <w:szCs w:val="23"/>
        </w:rPr>
      </w:pPr>
      <w:r w:rsidRPr="008953C0">
        <w:rPr>
          <w:sz w:val="23"/>
          <w:szCs w:val="23"/>
        </w:rPr>
        <w:t>Vēršam uzmanību, ka par identisku regulējumu ceļu satiksmes jomā šobrīd ir ierosināta lieta Satversmes tiesā (lietas Nr. 2020-59-01). Pielikumā nosūtām gan Tieslietu ministrijas viedokli Satversmes tiesai, gan Tieslietu ministrijas vēstuli Ekonomikas ministrijai, kuros ir detalizēts Tieslietu ministrijas viedoklis par šo jautājumu.</w:t>
      </w:r>
    </w:p>
    <w:p w14:paraId="3FAEB938" w14:textId="77777777" w:rsidR="00A13C55" w:rsidRPr="008953C0" w:rsidRDefault="00F957BA" w:rsidP="00CF498E">
      <w:pPr>
        <w:ind w:firstLine="567"/>
        <w:contextualSpacing/>
        <w:rPr>
          <w:sz w:val="23"/>
          <w:szCs w:val="23"/>
          <w:u w:val="single"/>
        </w:rPr>
      </w:pPr>
      <w:r w:rsidRPr="008953C0">
        <w:rPr>
          <w:sz w:val="23"/>
          <w:szCs w:val="23"/>
          <w:u w:val="single"/>
        </w:rPr>
        <w:t xml:space="preserve">Ievērojot minēto, lūdzam izvērtēt </w:t>
      </w:r>
      <w:r w:rsidRPr="008953C0">
        <w:rPr>
          <w:rFonts w:eastAsia="Times New Roman"/>
          <w:sz w:val="23"/>
          <w:szCs w:val="23"/>
          <w:u w:val="single"/>
          <w:lang w:eastAsia="lv-LV"/>
        </w:rPr>
        <w:t>projekta 14. pantā izteikt</w:t>
      </w:r>
      <w:r w:rsidR="00B76CD6" w:rsidRPr="008953C0">
        <w:rPr>
          <w:rFonts w:eastAsia="Times New Roman"/>
          <w:sz w:val="23"/>
          <w:szCs w:val="23"/>
          <w:u w:val="single"/>
          <w:lang w:eastAsia="lv-LV"/>
        </w:rPr>
        <w:t xml:space="preserve">o </w:t>
      </w:r>
      <w:r w:rsidRPr="008953C0">
        <w:rPr>
          <w:rFonts w:eastAsia="Times New Roman"/>
          <w:sz w:val="23"/>
          <w:szCs w:val="23"/>
          <w:u w:val="single"/>
          <w:lang w:eastAsia="lv-LV"/>
        </w:rPr>
        <w:t>23. panta</w:t>
      </w:r>
      <w:r w:rsidR="00B76CD6" w:rsidRPr="008953C0">
        <w:rPr>
          <w:rFonts w:eastAsia="Times New Roman"/>
          <w:sz w:val="23"/>
          <w:szCs w:val="23"/>
          <w:u w:val="single"/>
          <w:lang w:eastAsia="lv-LV"/>
        </w:rPr>
        <w:t xml:space="preserve"> otrās daļas </w:t>
      </w:r>
      <w:r w:rsidRPr="008953C0">
        <w:rPr>
          <w:sz w:val="23"/>
          <w:szCs w:val="23"/>
          <w:u w:val="single"/>
        </w:rPr>
        <w:t xml:space="preserve">tvērumu, kā arī tajā noteiktā tiesību ierobežojuma </w:t>
      </w:r>
      <w:proofErr w:type="spellStart"/>
      <w:r w:rsidRPr="008953C0">
        <w:rPr>
          <w:sz w:val="23"/>
          <w:szCs w:val="23"/>
          <w:u w:val="single"/>
        </w:rPr>
        <w:t>attaisnojamību</w:t>
      </w:r>
      <w:proofErr w:type="spellEnd"/>
      <w:r w:rsidRPr="008953C0">
        <w:rPr>
          <w:sz w:val="23"/>
          <w:szCs w:val="23"/>
          <w:u w:val="single"/>
        </w:rPr>
        <w:t xml:space="preserve"> dažādos gadījumos, kuros ir nepieciešama būvdarbu veikšana, kas var skart aizsargājamo objektu. </w:t>
      </w:r>
      <w:r w:rsidR="00B76CD6" w:rsidRPr="008953C0">
        <w:rPr>
          <w:sz w:val="23"/>
          <w:szCs w:val="23"/>
          <w:u w:val="single"/>
        </w:rPr>
        <w:t>L</w:t>
      </w:r>
      <w:r w:rsidRPr="008953C0">
        <w:rPr>
          <w:rFonts w:eastAsia="Times New Roman"/>
          <w:sz w:val="23"/>
          <w:szCs w:val="23"/>
          <w:u w:val="single"/>
          <w:lang w:eastAsia="lv-LV"/>
        </w:rPr>
        <w:t>ūdzam papildināt projekta anotāciju ar ierobežojuma</w:t>
      </w:r>
      <w:r w:rsidR="00B76CD6" w:rsidRPr="008953C0">
        <w:rPr>
          <w:rFonts w:eastAsia="Times New Roman"/>
          <w:sz w:val="23"/>
          <w:szCs w:val="23"/>
          <w:u w:val="single"/>
          <w:lang w:eastAsia="lv-LV"/>
        </w:rPr>
        <w:t xml:space="preserve"> detalizētu</w:t>
      </w:r>
      <w:r w:rsidRPr="008953C0">
        <w:rPr>
          <w:rFonts w:eastAsia="Times New Roman"/>
          <w:sz w:val="23"/>
          <w:szCs w:val="23"/>
          <w:u w:val="single"/>
          <w:lang w:eastAsia="lv-LV"/>
        </w:rPr>
        <w:t xml:space="preserve"> </w:t>
      </w:r>
      <w:proofErr w:type="spellStart"/>
      <w:r w:rsidRPr="008953C0">
        <w:rPr>
          <w:rFonts w:eastAsia="Times New Roman"/>
          <w:sz w:val="23"/>
          <w:szCs w:val="23"/>
          <w:u w:val="single"/>
          <w:lang w:eastAsia="lv-LV"/>
        </w:rPr>
        <w:t>satversmības</w:t>
      </w:r>
      <w:proofErr w:type="spellEnd"/>
      <w:r w:rsidRPr="008953C0">
        <w:rPr>
          <w:rFonts w:eastAsia="Times New Roman"/>
          <w:sz w:val="23"/>
          <w:szCs w:val="23"/>
          <w:u w:val="single"/>
          <w:lang w:eastAsia="lv-LV"/>
        </w:rPr>
        <w:t xml:space="preserve"> pamatojumu</w:t>
      </w:r>
      <w:r w:rsidR="00B76CD6" w:rsidRPr="008953C0">
        <w:rPr>
          <w:rFonts w:eastAsia="Times New Roman"/>
          <w:sz w:val="23"/>
          <w:szCs w:val="23"/>
          <w:u w:val="single"/>
          <w:lang w:eastAsia="lv-LV"/>
        </w:rPr>
        <w:t>.</w:t>
      </w:r>
      <w:r w:rsidR="00A13C55" w:rsidRPr="008953C0">
        <w:rPr>
          <w:rFonts w:eastAsia="Times New Roman"/>
          <w:sz w:val="23"/>
          <w:szCs w:val="23"/>
          <w:u w:val="single"/>
          <w:lang w:eastAsia="lv-LV"/>
        </w:rPr>
        <w:t xml:space="preserve"> </w:t>
      </w:r>
      <w:r w:rsidR="00A13C55" w:rsidRPr="008953C0">
        <w:rPr>
          <w:sz w:val="23"/>
          <w:szCs w:val="23"/>
          <w:u w:val="single"/>
        </w:rPr>
        <w:t>Lūdzam iepazīties ar atzinumam pievienoto dokumentu saturu.</w:t>
      </w:r>
    </w:p>
    <w:p w14:paraId="629FF215" w14:textId="11431A4C" w:rsidR="007C6BE1" w:rsidRPr="008953C0" w:rsidRDefault="002242FF" w:rsidP="008953C0">
      <w:pPr>
        <w:pStyle w:val="ListParagraph"/>
        <w:numPr>
          <w:ilvl w:val="0"/>
          <w:numId w:val="14"/>
        </w:numPr>
        <w:ind w:left="0" w:firstLine="633"/>
        <w:rPr>
          <w:sz w:val="23"/>
          <w:szCs w:val="23"/>
        </w:rPr>
      </w:pPr>
      <w:r w:rsidRPr="008953C0">
        <w:rPr>
          <w:sz w:val="23"/>
          <w:szCs w:val="23"/>
        </w:rPr>
        <w:lastRenderedPageBreak/>
        <w:t>P</w:t>
      </w:r>
      <w:r w:rsidR="007C6BE1" w:rsidRPr="008953C0">
        <w:rPr>
          <w:sz w:val="23"/>
          <w:szCs w:val="23"/>
        </w:rPr>
        <w:t>rojekta 14. pant</w:t>
      </w:r>
      <w:r w:rsidRPr="008953C0">
        <w:rPr>
          <w:sz w:val="23"/>
          <w:szCs w:val="23"/>
        </w:rPr>
        <w:t xml:space="preserve">ā </w:t>
      </w:r>
      <w:r w:rsidR="007C6BE1" w:rsidRPr="008953C0">
        <w:rPr>
          <w:rFonts w:eastAsia="Times New Roman"/>
          <w:sz w:val="23"/>
          <w:szCs w:val="23"/>
          <w:lang w:eastAsia="lv-LV"/>
        </w:rPr>
        <w:t xml:space="preserve">izteiktā 23. panta ceturtā daļa </w:t>
      </w:r>
      <w:r w:rsidR="007C6BE1" w:rsidRPr="008953C0">
        <w:rPr>
          <w:sz w:val="23"/>
          <w:szCs w:val="23"/>
        </w:rPr>
        <w:t>paredz</w:t>
      </w:r>
      <w:r w:rsidRPr="008953C0">
        <w:rPr>
          <w:sz w:val="23"/>
          <w:szCs w:val="23"/>
        </w:rPr>
        <w:t>:</w:t>
      </w:r>
      <w:r w:rsidR="007C6BE1" w:rsidRPr="008953C0">
        <w:rPr>
          <w:sz w:val="23"/>
          <w:szCs w:val="23"/>
        </w:rPr>
        <w:t xml:space="preserve"> </w:t>
      </w:r>
      <w:r w:rsidRPr="008953C0">
        <w:rPr>
          <w:i/>
          <w:iCs/>
          <w:sz w:val="23"/>
          <w:szCs w:val="23"/>
        </w:rPr>
        <w:t>"</w:t>
      </w:r>
      <w:r w:rsidRPr="008953C0">
        <w:rPr>
          <w:i/>
          <w:iCs/>
          <w:color w:val="000000" w:themeColor="text1"/>
          <w:sz w:val="23"/>
          <w:szCs w:val="23"/>
        </w:rPr>
        <w:t>Gadījumos, kad dabasgāzes sadales sistēmas operatoram gazificētā objekta īpašnieka vai valdītāja rīcības dēļ ilgstoši (laika periodā, kas pārsniedz 5 gadus) vai dabasgāzes pārvades un uzglabāšanas sistēmas operatoram nekustamā īpašuma īpašnieka vai valdītāja rīcības dēļ ilgstoši (laika periodā, kas pārsniedz 1 gadu) nav nodrošināta iekļūšana gazificētajā objektā vai nekustamajā īpašumā tam normatīvos aktos noteiktu pienākumu pildīšanai, dabasgāzes sadales sistēmas operatoram vai dabasgāzes pārvades un uzglabāšanas sistēmas operatoram ir tiesības iekļūt šajā objektā vai nekustamajā īpašumā, neievērojot gazificētā objekta vai nekustamā īpašuma īpašnieka vai valdītāja gribu, nepieciešamības gadījumā piesaistot Valsts policiju, ja minētos pienākumus nav iespējams veikt bez iekļūšanas gazificētajā objektā vai nekustamajā īpašumā. Valsts policijai piesaistīšanas gadījumā ir pienākums nodrošināt dabasgāzes sadales sistēmas operatora vai dabasgāzes pārvades un uzglabāšanas sistēmas operatora pārstāvjiem netraucētu normatīvos aktos noteikto pienākumu izpildi.”.</w:t>
      </w:r>
    </w:p>
    <w:p w14:paraId="7A206219" w14:textId="59CF6528" w:rsidR="00502498" w:rsidRPr="008953C0" w:rsidRDefault="002242FF" w:rsidP="00502498">
      <w:pPr>
        <w:tabs>
          <w:tab w:val="center" w:pos="4153"/>
          <w:tab w:val="right" w:pos="8306"/>
        </w:tabs>
        <w:ind w:firstLine="709"/>
        <w:contextualSpacing/>
        <w:rPr>
          <w:rFonts w:eastAsia="Times New Roman"/>
          <w:iCs/>
          <w:sz w:val="23"/>
          <w:szCs w:val="23"/>
        </w:rPr>
      </w:pPr>
      <w:r w:rsidRPr="008953C0">
        <w:rPr>
          <w:sz w:val="23"/>
          <w:szCs w:val="23"/>
        </w:rPr>
        <w:t>Papildinot Atzinuma 7. iebildumu, norādām, ka minētā norma nav skaidra. Proti, nav skaidrs, izvēlēto termiņu ilgums un pamatojums (5 un 1 gads); kas ir domāts ar valdītāju un vai minētais attieksies arī, piemēram, uz nomnieku; iekļūšana attiecas uz gazificēto objektu un nekustamo īpašumu, taču nav saprotams, kāds ir pamatojums iekļūt nekustamajā īpašumā, kas nav gazificētais objekts (jeb uz kādiem nekustamajiem īpašumiem tas attieksies)</w:t>
      </w:r>
      <w:r w:rsidR="00502498" w:rsidRPr="008953C0">
        <w:rPr>
          <w:sz w:val="23"/>
          <w:szCs w:val="23"/>
        </w:rPr>
        <w:t>;</w:t>
      </w:r>
      <w:r w:rsidRPr="008953C0">
        <w:rPr>
          <w:sz w:val="23"/>
          <w:szCs w:val="23"/>
        </w:rPr>
        <w:t xml:space="preserve"> kāda būs</w:t>
      </w:r>
      <w:r w:rsidR="00502498" w:rsidRPr="008953C0">
        <w:rPr>
          <w:sz w:val="23"/>
          <w:szCs w:val="23"/>
        </w:rPr>
        <w:t xml:space="preserve"> šī iekļūšanas procedūra, īpaši gadījumā, ja tas notiks bez Valsts policijas piesaistīšanas. Tieslietu ministrijas ieskatā, tā faktiski ir piespiedu nekustamā īpašuma atvēršana un iekļūšana nekustamajā īpašumā pretēji nekustamā īpašuma gribai vai bez tās. Šādai rīcībai ir </w:t>
      </w:r>
      <w:r w:rsidR="00502498" w:rsidRPr="008953C0">
        <w:rPr>
          <w:rFonts w:eastAsia="Times New Roman"/>
          <w:iCs/>
          <w:sz w:val="23"/>
          <w:szCs w:val="23"/>
        </w:rPr>
        <w:t xml:space="preserve">jābūt objektīvi pamatotai (nepieciešamai), fiksējot faktus un veiktās darbības, kā arī nodrošinot nekustamā īpašuma apsardzību pēc iekļuves šajā īpašumā. Turklāt ne visos gadījumos būtu pieļaujama iekļūšana nekustamajā īpašumā. </w:t>
      </w:r>
    </w:p>
    <w:p w14:paraId="7A32EB85" w14:textId="0E3C949A" w:rsidR="007C6BE1" w:rsidRPr="008953C0" w:rsidRDefault="00502498" w:rsidP="009908E6">
      <w:pPr>
        <w:tabs>
          <w:tab w:val="center" w:pos="4153"/>
          <w:tab w:val="right" w:pos="8306"/>
        </w:tabs>
        <w:ind w:firstLine="709"/>
        <w:contextualSpacing/>
        <w:rPr>
          <w:sz w:val="23"/>
          <w:szCs w:val="23"/>
          <w:u w:val="single"/>
        </w:rPr>
      </w:pPr>
      <w:r w:rsidRPr="008953C0">
        <w:rPr>
          <w:rFonts w:eastAsia="Times New Roman"/>
          <w:iCs/>
          <w:sz w:val="23"/>
          <w:szCs w:val="23"/>
          <w:u w:val="single"/>
        </w:rPr>
        <w:t>Lūdzam</w:t>
      </w:r>
      <w:r w:rsidR="009908E6" w:rsidRPr="008953C0">
        <w:rPr>
          <w:rFonts w:eastAsia="Times New Roman"/>
          <w:iCs/>
          <w:sz w:val="23"/>
          <w:szCs w:val="23"/>
          <w:u w:val="single"/>
        </w:rPr>
        <w:t xml:space="preserve">, vēl bez detalizētas </w:t>
      </w:r>
      <w:proofErr w:type="spellStart"/>
      <w:r w:rsidR="009908E6" w:rsidRPr="008953C0">
        <w:rPr>
          <w:rFonts w:eastAsia="Times New Roman"/>
          <w:iCs/>
          <w:sz w:val="23"/>
          <w:szCs w:val="23"/>
          <w:u w:val="single"/>
        </w:rPr>
        <w:t>satversmības</w:t>
      </w:r>
      <w:proofErr w:type="spellEnd"/>
      <w:r w:rsidR="009908E6" w:rsidRPr="008953C0">
        <w:rPr>
          <w:rFonts w:eastAsia="Times New Roman"/>
          <w:iCs/>
          <w:sz w:val="23"/>
          <w:szCs w:val="23"/>
          <w:u w:val="single"/>
        </w:rPr>
        <w:t xml:space="preserve"> </w:t>
      </w:r>
      <w:proofErr w:type="spellStart"/>
      <w:r w:rsidR="009908E6" w:rsidRPr="008953C0">
        <w:rPr>
          <w:rFonts w:eastAsia="Times New Roman"/>
          <w:iCs/>
          <w:sz w:val="23"/>
          <w:szCs w:val="23"/>
          <w:u w:val="single"/>
        </w:rPr>
        <w:t>izvērtējuma</w:t>
      </w:r>
      <w:proofErr w:type="spellEnd"/>
      <w:r w:rsidR="009908E6" w:rsidRPr="008953C0">
        <w:rPr>
          <w:rFonts w:eastAsia="Times New Roman"/>
          <w:iCs/>
          <w:sz w:val="23"/>
          <w:szCs w:val="23"/>
          <w:u w:val="single"/>
        </w:rPr>
        <w:t xml:space="preserve"> anotācijā iekļaušanas,</w:t>
      </w:r>
      <w:r w:rsidRPr="008953C0">
        <w:rPr>
          <w:rFonts w:eastAsia="Times New Roman"/>
          <w:iCs/>
          <w:sz w:val="23"/>
          <w:szCs w:val="23"/>
          <w:u w:val="single"/>
        </w:rPr>
        <w:t xml:space="preserve"> skaidrot minēt</w:t>
      </w:r>
      <w:r w:rsidR="009908E6" w:rsidRPr="008953C0">
        <w:rPr>
          <w:rFonts w:eastAsia="Times New Roman"/>
          <w:iCs/>
          <w:sz w:val="23"/>
          <w:szCs w:val="23"/>
          <w:u w:val="single"/>
        </w:rPr>
        <w:t>ās normas būtību, attiecīgi papildinot anotāciju ar nepieciešamo informāciju. Tāpat lūdzam minēto regulējumu izvērtēt atkārtoti un saskaņot ar iekļuvi dzīvokļu īpašumos, lai būtu vienota pieeja un procedūra iekļūšanai nekustamajā īpašumā bez vai pretēji īpašnieka gribai.</w:t>
      </w:r>
    </w:p>
    <w:p w14:paraId="44F5A7D5" w14:textId="6F71C22B" w:rsidR="00A13C55" w:rsidRPr="008953C0" w:rsidRDefault="00A13C55" w:rsidP="00CF498E">
      <w:pPr>
        <w:pStyle w:val="ListParagraph"/>
        <w:numPr>
          <w:ilvl w:val="0"/>
          <w:numId w:val="14"/>
        </w:numPr>
        <w:ind w:left="0" w:firstLine="567"/>
        <w:rPr>
          <w:sz w:val="23"/>
          <w:szCs w:val="23"/>
          <w:u w:val="single"/>
        </w:rPr>
      </w:pPr>
      <w:r w:rsidRPr="008953C0">
        <w:rPr>
          <w:sz w:val="23"/>
          <w:szCs w:val="23"/>
        </w:rPr>
        <w:t xml:space="preserve">Ar projekta 28. pantu ir paredzēts izslēgt Enerģētikas likuma 76. panta otro daļu, kurā ir ietverts deleģējums Ministru kabinetam izdot noteikumus par energoapgādes objektu ierīkošanu. Tādējādi spēku zaudētu Ministru kabineta 2014. gada 30. septembra noteikumi Nr. 573 “Elektroenerģijas ražošanas, pārvades un sadales būvju būvnoteikumi”. Anotācijā par minēto tiesību normu ir tikai norādīts, ka norma ir izslēdzama, jo tā sašaurina un dublē Būvniecības likumā noteikto deleģējumu un uz tā pamata izdotajos noteikumos “Atsevišķu inženierbūvju būvnoteikumi” noteikto kārtību. </w:t>
      </w:r>
    </w:p>
    <w:p w14:paraId="1F346AE6" w14:textId="77777777" w:rsidR="00A13C55" w:rsidRPr="008953C0" w:rsidRDefault="00A13C55" w:rsidP="00CF498E">
      <w:pPr>
        <w:ind w:firstLine="720"/>
        <w:contextualSpacing/>
        <w:rPr>
          <w:sz w:val="23"/>
          <w:szCs w:val="23"/>
        </w:rPr>
      </w:pPr>
      <w:r w:rsidRPr="008953C0">
        <w:rPr>
          <w:sz w:val="23"/>
          <w:szCs w:val="23"/>
        </w:rPr>
        <w:t>Vēršam uzmanību, ka nav izvērtētas atšķirības starp minētajiem noteikumiem un vienu spēka zaudēšanas ietekmi uz enerģētikas sistēmu. Piemēram, esošie energoapgādes būvju noteikumi paredz prasības saskaņojuma iegūšanai no personas, kuru skars objekta celtniecība. Tā, noteikumu 8.</w:t>
      </w:r>
      <w:r w:rsidRPr="008953C0">
        <w:rPr>
          <w:sz w:val="23"/>
          <w:szCs w:val="23"/>
          <w:vertAlign w:val="superscript"/>
        </w:rPr>
        <w:t>2</w:t>
      </w:r>
      <w:r w:rsidRPr="008953C0">
        <w:rPr>
          <w:sz w:val="23"/>
          <w:szCs w:val="23"/>
        </w:rPr>
        <w:t xml:space="preserve"> punkts paredz, ka ir iegūstams nepārprotams saskaņojums no nekustamā īpašuma īpašnieka. Minētais ir viens no retajiem instrumentiem, kas šobrīd ir īpašniekam pieejams, lai mēģinātu panākt savu aizsargājamo interešu ievērošanu, kad tiek būvēti energoapgādes objekti tam piederošā nekustamā īpašumā. Savukārt otros noteikumos ir paredzēta iespēja arī tikai informēt personu par būvdarbu veikšanu, kas pats par sevi nav saistīts ar likumā noteiktajiem gadījumiem, kad būvdarbus var ierosināt bez piekrišanas (noteikumu 31. punkts). </w:t>
      </w:r>
    </w:p>
    <w:p w14:paraId="554A1E52" w14:textId="77777777" w:rsidR="00A13C55" w:rsidRPr="008953C0" w:rsidRDefault="00A13C55" w:rsidP="00CF498E">
      <w:pPr>
        <w:ind w:firstLine="720"/>
        <w:contextualSpacing/>
        <w:rPr>
          <w:sz w:val="23"/>
          <w:szCs w:val="23"/>
        </w:rPr>
      </w:pPr>
      <w:r w:rsidRPr="008953C0">
        <w:rPr>
          <w:sz w:val="23"/>
          <w:szCs w:val="23"/>
          <w:u w:val="single"/>
        </w:rPr>
        <w:t>Ievērojot minēto,</w:t>
      </w:r>
      <w:r w:rsidRPr="008953C0">
        <w:rPr>
          <w:sz w:val="23"/>
          <w:szCs w:val="23"/>
        </w:rPr>
        <w:t xml:space="preserve"> </w:t>
      </w:r>
      <w:r w:rsidRPr="008953C0">
        <w:rPr>
          <w:sz w:val="23"/>
          <w:szCs w:val="23"/>
          <w:u w:val="single"/>
        </w:rPr>
        <w:t>lūdzam izvērtēt pastāvošās atšķirības minētajos Ministru kabineta noteikumos, kā arī paredzētā regulējuma (noteikumu spēka zaudēšanas ietekmi) uz pašu sistēmu par energoapgādes objektu celtniecību svešā zemē un vai palikušais regulējums būs skaidrs un nodrošinās personu tiesību aizsardzību. Lūdzam anotācijā skaidrot, kā tik nodrošināt noteikumos paredzētais instruments īpašniekiem. Ja minētais aspekts netiks nodrošināt, lūdzam anotāciju papildināt ar skaidrojumu un šādas rīcības pamatojumu.</w:t>
      </w:r>
    </w:p>
    <w:p w14:paraId="2B3C89D3" w14:textId="77777777" w:rsidR="008953C0" w:rsidRPr="008953C0" w:rsidRDefault="00A13C55" w:rsidP="008953C0">
      <w:pPr>
        <w:pStyle w:val="ListParagraph"/>
        <w:numPr>
          <w:ilvl w:val="0"/>
          <w:numId w:val="14"/>
        </w:numPr>
        <w:ind w:left="0" w:firstLine="567"/>
        <w:rPr>
          <w:sz w:val="23"/>
          <w:szCs w:val="23"/>
        </w:rPr>
      </w:pPr>
      <w:r w:rsidRPr="008953C0">
        <w:rPr>
          <w:sz w:val="23"/>
          <w:szCs w:val="23"/>
        </w:rPr>
        <w:t>Ar projekta 35. pantu ir paredzēts izteikt Enerģētikas likuma 109. panta otro daļu jaunā redakcijā, kas pēc būtības paredz sešu mēnešu ierobežojumu pēdējās garantētās piegādes (PGP) laikam, kā arī paredz, ka pēdējā garantētā piegāde aptver citus gadījumus, kur galalietotājs, kas nav saistītais lietotājs, saņem dabasgāzi bez līguma. Anotācijā ir ietverta normas redakcija, kā arī norādīts, ka: “Tāpat arī ir precizēts ierobežojums laikā, proti, “ne ilgāk par sešiem kalendārajiem mēnešiem”, kādā pēdējo garantēto piegādi var saņemt.”</w:t>
      </w:r>
    </w:p>
    <w:p w14:paraId="46B7FCD9" w14:textId="77777777" w:rsidR="008953C0" w:rsidRPr="008953C0" w:rsidRDefault="00A13C55" w:rsidP="008953C0">
      <w:pPr>
        <w:ind w:firstLine="567"/>
        <w:rPr>
          <w:sz w:val="23"/>
          <w:szCs w:val="23"/>
        </w:rPr>
      </w:pPr>
      <w:r w:rsidRPr="008953C0">
        <w:rPr>
          <w:sz w:val="23"/>
          <w:szCs w:val="23"/>
        </w:rPr>
        <w:lastRenderedPageBreak/>
        <w:t>Vēršam uzmanību, ka anotācijā ietvertais skaidrojums ir pretrunīgs ar piedāvāto normas redakciju, jo, lai arī ir noteikts sešu mēnešu ierobežojums PGP saņemšanai, pati norma paredzēs, ka PGP turpinās visos gadījumos, kuros turpinās dabasgāzes piegāde (neatkarīgi no PGP definīcijas).</w:t>
      </w:r>
    </w:p>
    <w:p w14:paraId="30BD19D0" w14:textId="77777777" w:rsidR="008953C0" w:rsidRPr="008953C0" w:rsidRDefault="00A13C55" w:rsidP="008953C0">
      <w:pPr>
        <w:ind w:firstLine="567"/>
        <w:rPr>
          <w:sz w:val="23"/>
          <w:szCs w:val="23"/>
        </w:rPr>
      </w:pPr>
      <w:r w:rsidRPr="008953C0">
        <w:rPr>
          <w:sz w:val="23"/>
          <w:szCs w:val="23"/>
        </w:rPr>
        <w:t>Vienlaikus Tieslietu ministrijas secina, ka projektā nav paredzēti risinājumi PGP problemātikai, par kuru regulāri tiek diskutēts Ministru kabineta 2017. gada 7. februāra noteikumu Nr. 78 “Dabasgāzes tirdzniecības un lietošanas noteikumi” ietvertā regulējuma kontekstā. Enerģētikas likums paredz ļoti konkrētu definīciju PGP (Enerģētikas likuma 109. pants), kaut arī praksē PGP tiek sniegts visos gadījumos, kuros dabasgāze tiek saņemta bez līguma. Lai arī PGP attiecas tikai uz galalietotājiem, Enerģētikas likuma 107. pantā PGP pienākumi ir minēti arī saistīto lietotāju kontekstā (kuri, kā noprotams no sanāksmēs runātā, arī saņem PGP pakalpojumu). Vienlaikus, lai arī ir paredzēts ierobežot PGP termiņu (lai PGP neturpinātos mūžīgi), nav paredzēts pārtraukt dabasgāzes piegādi pēc šā termiņa, bet to turpināt par Ministru kabineta noteiktu cenu. Savukārt attiecībā uz piegādes turpināšanu, nav skaidrs</w:t>
      </w:r>
      <w:r w:rsidR="007F3AA1" w:rsidRPr="008953C0">
        <w:rPr>
          <w:sz w:val="23"/>
          <w:szCs w:val="23"/>
        </w:rPr>
        <w:t>,</w:t>
      </w:r>
      <w:r w:rsidRPr="008953C0">
        <w:rPr>
          <w:sz w:val="23"/>
          <w:szCs w:val="23"/>
        </w:rPr>
        <w:t xml:space="preserve"> vai tas notiek PGP ietvaros vai ārpus tā (tāpat kā nav skaidrs, vai saistītie lietotāji saņem PGP vai ko citu). Vienlaikus Enerģētikas likums neparedz Ministru kabinetam tiesības noteikt piegādātas dabasgāzes cenu nedz PGP, nedz kāda cita institūta ietvaros. Enerģētikas likums paredz, ka dabasgāzes piegāde notiek, tikai esot līgumam, kā arī atsevišķos gadījumos PGP ietvaros par Enerģētikas likumam atbilstoši noteiktu cenu, ko nenosaka Ministru kabinets.</w:t>
      </w:r>
    </w:p>
    <w:p w14:paraId="35FC3145" w14:textId="77777777" w:rsidR="008953C0" w:rsidRPr="008953C0" w:rsidRDefault="00A13C55" w:rsidP="008953C0">
      <w:pPr>
        <w:ind w:firstLine="567"/>
        <w:rPr>
          <w:sz w:val="23"/>
          <w:szCs w:val="23"/>
        </w:rPr>
      </w:pPr>
      <w:r w:rsidRPr="008953C0">
        <w:rPr>
          <w:sz w:val="23"/>
          <w:szCs w:val="23"/>
        </w:rPr>
        <w:t>Ievērojot minēto, paredzētais grozījums pēc būtības nekādā veidā nerisina to, kas tad īsti ir PGP, kas to saņem un ir tiesīgi saņemt, kas notiek pēc tam un kāda tiesiskā režīma ietvaros. Tāpat arī piedāvātais regulējums nekādā veidā nerisina neskaidrības par Ministru kabineta deleģējuma tvērumu attiecībā uz pilnvarām regulēt šos procesus, kas vismaz līdz šim ir bijusi Ekonomikas ministrijas nostāja, ka šie jautājumi ir jāregulē kabinetam.</w:t>
      </w:r>
    </w:p>
    <w:p w14:paraId="430737CF" w14:textId="49900AD4" w:rsidR="00A13C55" w:rsidRPr="008953C0" w:rsidRDefault="00A13C55" w:rsidP="008953C0">
      <w:pPr>
        <w:ind w:firstLine="567"/>
        <w:rPr>
          <w:sz w:val="23"/>
          <w:szCs w:val="23"/>
        </w:rPr>
      </w:pPr>
      <w:r w:rsidRPr="008953C0">
        <w:rPr>
          <w:sz w:val="23"/>
          <w:szCs w:val="23"/>
          <w:u w:val="single"/>
        </w:rPr>
        <w:t xml:space="preserve">Ņemot vērā visu minēto, lūdzam pēc būtības izvērtēt PGP problemātiku un izstrādāt regulējumu, kas sistēmiski pareizi un tiesiski risinātu problemātiku par visiem gadījumiem, kuros dabasgāzes piegāde notiek bez līguma. </w:t>
      </w:r>
      <w:r w:rsidR="007F3AA1" w:rsidRPr="008953C0">
        <w:rPr>
          <w:sz w:val="23"/>
          <w:szCs w:val="23"/>
          <w:u w:val="single"/>
        </w:rPr>
        <w:t>Lūdzam skaidrot un papildināt anotāciju par iepriekš norādītajiem problēmjautājumiem.</w:t>
      </w:r>
    </w:p>
    <w:p w14:paraId="5588843B" w14:textId="77777777" w:rsidR="008953C0" w:rsidRPr="008953C0" w:rsidRDefault="00160216" w:rsidP="008953C0">
      <w:pPr>
        <w:pStyle w:val="ListParagraph"/>
        <w:widowControl/>
        <w:numPr>
          <w:ilvl w:val="0"/>
          <w:numId w:val="14"/>
        </w:numPr>
        <w:shd w:val="clear" w:color="auto" w:fill="FFFFFF"/>
        <w:ind w:left="0" w:firstLine="567"/>
        <w:rPr>
          <w:rFonts w:eastAsia="Times New Roman"/>
          <w:sz w:val="23"/>
          <w:szCs w:val="23"/>
          <w:lang w:eastAsia="lv-LV"/>
        </w:rPr>
      </w:pPr>
      <w:r w:rsidRPr="008953C0">
        <w:rPr>
          <w:sz w:val="23"/>
          <w:szCs w:val="23"/>
        </w:rPr>
        <w:t>Iepazīstoties ar projektu, īpaši tā 18. pantu, un anotāciju, netapa skaidrs, vai Ministru kabineta 2008. gada 21. oktobra noteikumi Nr. 876 "</w:t>
      </w:r>
      <w:r w:rsidRPr="008953C0">
        <w:rPr>
          <w:rFonts w:eastAsia="Times New Roman"/>
          <w:sz w:val="23"/>
          <w:szCs w:val="23"/>
          <w:lang w:eastAsia="lv-LV"/>
        </w:rPr>
        <w:t xml:space="preserve"> Siltumenerģijas piegādes un lietošanas noteikumi" zaudēs spēku un tiks attiecīgi izstrādāti jauni Ministru kabineta noteikumi. </w:t>
      </w:r>
      <w:r w:rsidRPr="008953C0">
        <w:rPr>
          <w:rFonts w:eastAsia="Times New Roman"/>
          <w:sz w:val="23"/>
          <w:szCs w:val="23"/>
          <w:u w:val="single"/>
          <w:lang w:eastAsia="lv-LV"/>
        </w:rPr>
        <w:t>Lūdzam minēto skaidrot.</w:t>
      </w:r>
    </w:p>
    <w:p w14:paraId="00FA952B" w14:textId="77777777" w:rsidR="008953C0" w:rsidRPr="008953C0" w:rsidRDefault="0068483B" w:rsidP="008953C0">
      <w:pPr>
        <w:widowControl/>
        <w:shd w:val="clear" w:color="auto" w:fill="FFFFFF"/>
        <w:ind w:firstLine="567"/>
        <w:rPr>
          <w:rFonts w:eastAsia="Times New Roman"/>
          <w:sz w:val="23"/>
          <w:szCs w:val="23"/>
          <w:lang w:eastAsia="lv-LV"/>
        </w:rPr>
      </w:pPr>
      <w:r w:rsidRPr="008953C0">
        <w:rPr>
          <w:sz w:val="23"/>
          <w:szCs w:val="23"/>
        </w:rPr>
        <w:t>Vienlaikus, v</w:t>
      </w:r>
      <w:r w:rsidR="00160216" w:rsidRPr="008953C0">
        <w:rPr>
          <w:sz w:val="23"/>
          <w:szCs w:val="23"/>
        </w:rPr>
        <w:t>ēršam uzmanību, ka Enerģētika</w:t>
      </w:r>
      <w:r w:rsidR="00450142" w:rsidRPr="008953C0">
        <w:rPr>
          <w:sz w:val="23"/>
          <w:szCs w:val="23"/>
        </w:rPr>
        <w:t>s</w:t>
      </w:r>
      <w:r w:rsidR="00160216" w:rsidRPr="008953C0">
        <w:rPr>
          <w:sz w:val="23"/>
          <w:szCs w:val="23"/>
        </w:rPr>
        <w:t xml:space="preserve"> likums satur novecojušu un neskaidru tiesību institūtu, kura juridiskā daba nav saprotama</w:t>
      </w:r>
      <w:r w:rsidR="00450142" w:rsidRPr="008953C0">
        <w:rPr>
          <w:sz w:val="23"/>
          <w:szCs w:val="23"/>
        </w:rPr>
        <w:t xml:space="preserve"> (sk. piemēram, Enerģētikas likuma 46.</w:t>
      </w:r>
      <w:r w:rsidR="00450142" w:rsidRPr="008953C0">
        <w:rPr>
          <w:sz w:val="23"/>
          <w:szCs w:val="23"/>
          <w:vertAlign w:val="superscript"/>
        </w:rPr>
        <w:t>1</w:t>
      </w:r>
      <w:r w:rsidR="00450142" w:rsidRPr="008953C0">
        <w:rPr>
          <w:sz w:val="23"/>
          <w:szCs w:val="23"/>
        </w:rPr>
        <w:t xml:space="preserve"> pantu)</w:t>
      </w:r>
      <w:r w:rsidR="00160216" w:rsidRPr="008953C0">
        <w:rPr>
          <w:sz w:val="23"/>
          <w:szCs w:val="23"/>
        </w:rPr>
        <w:t>. Proti, tā ir kompensācija</w:t>
      </w:r>
      <w:r w:rsidR="00450142" w:rsidRPr="008953C0">
        <w:rPr>
          <w:sz w:val="23"/>
          <w:szCs w:val="23"/>
        </w:rPr>
        <w:t xml:space="preserve"> energoapgādes komersantam</w:t>
      </w:r>
      <w:r w:rsidR="00160216" w:rsidRPr="008953C0">
        <w:rPr>
          <w:sz w:val="23"/>
          <w:szCs w:val="23"/>
        </w:rPr>
        <w:t xml:space="preserve"> par e</w:t>
      </w:r>
      <w:r w:rsidR="00450142" w:rsidRPr="008953C0">
        <w:rPr>
          <w:sz w:val="23"/>
          <w:szCs w:val="23"/>
        </w:rPr>
        <w:t xml:space="preserve">nerģijas piegādes vai lietošanas noteikumu pārkāpšanu, līguma noteikumu pārkāpšanu vai Ministru kabineta noteikumos paredzētu pārkāpuma gadījumos, ko maksā enerģijas lietotājs. Jānorāda, ka šādas kompensācijas </w:t>
      </w:r>
      <w:proofErr w:type="spellStart"/>
      <w:r w:rsidR="00450142" w:rsidRPr="008953C0">
        <w:rPr>
          <w:sz w:val="23"/>
          <w:szCs w:val="23"/>
        </w:rPr>
        <w:t>satversmība</w:t>
      </w:r>
      <w:proofErr w:type="spellEnd"/>
      <w:r w:rsidR="00450142" w:rsidRPr="008953C0">
        <w:rPr>
          <w:sz w:val="23"/>
          <w:szCs w:val="23"/>
        </w:rPr>
        <w:t xml:space="preserve"> ir apšaubāma. </w:t>
      </w:r>
      <w:r w:rsidR="00450142" w:rsidRPr="008953C0">
        <w:rPr>
          <w:rFonts w:eastAsia="Times New Roman"/>
          <w:sz w:val="23"/>
          <w:szCs w:val="23"/>
          <w:lang w:eastAsia="lv-LV"/>
        </w:rPr>
        <w:t xml:space="preserve">Ņemot vērā, ka Satversmes tiesā ir iesniegtas pietiekami daudz lietas par šāda maksājuma </w:t>
      </w:r>
      <w:proofErr w:type="spellStart"/>
      <w:r w:rsidR="00450142" w:rsidRPr="008953C0">
        <w:rPr>
          <w:rFonts w:eastAsia="Times New Roman"/>
          <w:sz w:val="23"/>
          <w:szCs w:val="23"/>
          <w:lang w:eastAsia="lv-LV"/>
        </w:rPr>
        <w:t>satversmību</w:t>
      </w:r>
      <w:proofErr w:type="spellEnd"/>
      <w:r w:rsidR="00450142" w:rsidRPr="008953C0">
        <w:rPr>
          <w:rFonts w:eastAsia="Times New Roman"/>
          <w:sz w:val="23"/>
          <w:szCs w:val="23"/>
          <w:lang w:eastAsia="lv-LV"/>
        </w:rPr>
        <w:t xml:space="preserve"> dabasgāzes piegādē, Tieslietu ministrijas, ieskatā ir pienācis laiks Ekonomikas ministrijai izvērtēt šī institūta </w:t>
      </w:r>
      <w:r w:rsidRPr="008953C0">
        <w:rPr>
          <w:rFonts w:eastAsia="Times New Roman"/>
          <w:sz w:val="23"/>
          <w:szCs w:val="23"/>
          <w:lang w:eastAsia="lv-LV"/>
        </w:rPr>
        <w:t xml:space="preserve">būtību, </w:t>
      </w:r>
      <w:proofErr w:type="spellStart"/>
      <w:r w:rsidRPr="008953C0">
        <w:rPr>
          <w:rFonts w:eastAsia="Times New Roman"/>
          <w:sz w:val="23"/>
          <w:szCs w:val="23"/>
          <w:lang w:eastAsia="lv-LV"/>
        </w:rPr>
        <w:t>satversmību</w:t>
      </w:r>
      <w:proofErr w:type="spellEnd"/>
      <w:r w:rsidRPr="008953C0">
        <w:rPr>
          <w:rFonts w:eastAsia="Times New Roman"/>
          <w:sz w:val="23"/>
          <w:szCs w:val="23"/>
          <w:lang w:eastAsia="lv-LV"/>
        </w:rPr>
        <w:t xml:space="preserve">, </w:t>
      </w:r>
      <w:r w:rsidR="00450142" w:rsidRPr="008953C0">
        <w:rPr>
          <w:rFonts w:eastAsia="Times New Roman"/>
          <w:sz w:val="23"/>
          <w:szCs w:val="23"/>
          <w:lang w:eastAsia="lv-LV"/>
        </w:rPr>
        <w:t>atbilstību pašreiz</w:t>
      </w:r>
      <w:r w:rsidRPr="008953C0">
        <w:rPr>
          <w:rFonts w:eastAsia="Times New Roman"/>
          <w:sz w:val="23"/>
          <w:szCs w:val="23"/>
          <w:lang w:eastAsia="lv-LV"/>
        </w:rPr>
        <w:t xml:space="preserve"> spēkā esošajam</w:t>
      </w:r>
      <w:r w:rsidR="00450142" w:rsidRPr="008953C0">
        <w:rPr>
          <w:rFonts w:eastAsia="Times New Roman"/>
          <w:sz w:val="23"/>
          <w:szCs w:val="23"/>
          <w:lang w:eastAsia="lv-LV"/>
        </w:rPr>
        <w:t xml:space="preserve"> regulējumam un </w:t>
      </w:r>
      <w:r w:rsidRPr="008953C0">
        <w:rPr>
          <w:rFonts w:eastAsia="Times New Roman"/>
          <w:sz w:val="23"/>
          <w:szCs w:val="23"/>
          <w:lang w:eastAsia="lv-LV"/>
        </w:rPr>
        <w:t>pašreizējai enerģētikas nozarē esošajām tendencēm, kas ir krietni mainījusies, kopš Enerģētikas likuma spēkā stāšanās.</w:t>
      </w:r>
    </w:p>
    <w:p w14:paraId="7F976F7E" w14:textId="77777777" w:rsidR="008953C0" w:rsidRPr="008953C0" w:rsidRDefault="0068483B" w:rsidP="008953C0">
      <w:pPr>
        <w:widowControl/>
        <w:shd w:val="clear" w:color="auto" w:fill="FFFFFF"/>
        <w:ind w:firstLine="567"/>
        <w:rPr>
          <w:rFonts w:eastAsia="Times New Roman"/>
          <w:sz w:val="23"/>
          <w:szCs w:val="23"/>
          <w:lang w:eastAsia="lv-LV"/>
        </w:rPr>
      </w:pPr>
      <w:r w:rsidRPr="008953C0">
        <w:rPr>
          <w:rFonts w:eastAsia="Times New Roman"/>
          <w:sz w:val="23"/>
          <w:szCs w:val="23"/>
          <w:lang w:eastAsia="lv-LV"/>
        </w:rPr>
        <w:t>Tieslietu ministrijas ieskatā</w:t>
      </w:r>
      <w:r w:rsidR="00F029F1" w:rsidRPr="008953C0">
        <w:rPr>
          <w:rFonts w:eastAsia="Times New Roman"/>
          <w:sz w:val="23"/>
          <w:szCs w:val="23"/>
          <w:lang w:eastAsia="lv-LV"/>
        </w:rPr>
        <w:t xml:space="preserve">, Ekonomikas ministrijai ir jāizvērtē, kādu tiesību institūtu tā vēlas ievies enerģētikas nozarē par pārkāpumiem. Tāpat, kādas seku iestāšanos enerģijas lietotājiem un par kādiem pārkāpumiem (civiltiesiskiem, </w:t>
      </w:r>
      <w:proofErr w:type="spellStart"/>
      <w:r w:rsidR="00F029F1" w:rsidRPr="008953C0">
        <w:rPr>
          <w:rFonts w:eastAsia="Times New Roman"/>
          <w:sz w:val="23"/>
          <w:szCs w:val="23"/>
          <w:lang w:eastAsia="lv-LV"/>
        </w:rPr>
        <w:t>administratīvtiesiskiem</w:t>
      </w:r>
      <w:proofErr w:type="spellEnd"/>
      <w:r w:rsidR="00F029F1" w:rsidRPr="008953C0">
        <w:rPr>
          <w:rFonts w:eastAsia="Times New Roman"/>
          <w:sz w:val="23"/>
          <w:szCs w:val="23"/>
          <w:lang w:eastAsia="lv-LV"/>
        </w:rPr>
        <w:t xml:space="preserve"> vai krimināltiesi</w:t>
      </w:r>
      <w:r w:rsidR="007B616E" w:rsidRPr="008953C0">
        <w:rPr>
          <w:rFonts w:eastAsia="Times New Roman"/>
          <w:sz w:val="23"/>
          <w:szCs w:val="23"/>
          <w:lang w:eastAsia="lv-LV"/>
        </w:rPr>
        <w:t xml:space="preserve">skiem) </w:t>
      </w:r>
      <w:r w:rsidR="00F029F1" w:rsidRPr="008953C0">
        <w:rPr>
          <w:rFonts w:eastAsia="Times New Roman"/>
          <w:sz w:val="23"/>
          <w:szCs w:val="23"/>
          <w:lang w:eastAsia="lv-LV"/>
        </w:rPr>
        <w:t>tā vēlas pan</w:t>
      </w:r>
      <w:r w:rsidR="007B616E" w:rsidRPr="008953C0">
        <w:rPr>
          <w:rFonts w:eastAsia="Times New Roman"/>
          <w:sz w:val="23"/>
          <w:szCs w:val="23"/>
          <w:lang w:eastAsia="lv-LV"/>
        </w:rPr>
        <w:t>ā</w:t>
      </w:r>
      <w:r w:rsidR="00F029F1" w:rsidRPr="008953C0">
        <w:rPr>
          <w:rFonts w:eastAsia="Times New Roman"/>
          <w:sz w:val="23"/>
          <w:szCs w:val="23"/>
          <w:lang w:eastAsia="lv-LV"/>
        </w:rPr>
        <w:t>kt. Proti, kādas sekas, par ko, kādā veidā un kāpēc</w:t>
      </w:r>
      <w:r w:rsidR="007B616E" w:rsidRPr="008953C0">
        <w:rPr>
          <w:rFonts w:eastAsia="Times New Roman"/>
          <w:sz w:val="23"/>
          <w:szCs w:val="23"/>
          <w:lang w:eastAsia="lv-LV"/>
        </w:rPr>
        <w:t>.</w:t>
      </w:r>
    </w:p>
    <w:p w14:paraId="67162EFF" w14:textId="00062F41" w:rsidR="007B616E" w:rsidRPr="008953C0" w:rsidRDefault="007B616E" w:rsidP="008953C0">
      <w:pPr>
        <w:widowControl/>
        <w:shd w:val="clear" w:color="auto" w:fill="FFFFFF"/>
        <w:ind w:firstLine="567"/>
        <w:rPr>
          <w:rFonts w:eastAsia="Times New Roman"/>
          <w:sz w:val="23"/>
          <w:szCs w:val="23"/>
        </w:rPr>
      </w:pPr>
      <w:r w:rsidRPr="008953C0">
        <w:rPr>
          <w:rFonts w:eastAsia="Times New Roman"/>
          <w:sz w:val="23"/>
          <w:szCs w:val="23"/>
          <w:lang w:eastAsia="lv-LV"/>
        </w:rPr>
        <w:t>Gadījumā, ja ir mērķis stiprināt civiltiesisko atbildību par civiltiesiska rakstura pārkāpumu (atbildību par kaitējumu energoapgādes komersantam, ko radījis enerģijas lietotājas neatļauta darbība), tad</w:t>
      </w:r>
      <w:r w:rsidRPr="008953C0">
        <w:rPr>
          <w:rFonts w:eastAsia="Times New Roman"/>
          <w:sz w:val="23"/>
          <w:szCs w:val="23"/>
        </w:rPr>
        <w:t xml:space="preserve"> uzmanība jāpievērš šādiem aspektiem, kas izriet no Civillikuma, kas primāri nosaka civiltiesiskās atbildības būtību un piemērošanas kārtību:</w:t>
      </w:r>
    </w:p>
    <w:p w14:paraId="084F7B1A" w14:textId="77777777" w:rsidR="008953C0" w:rsidRPr="008953C0" w:rsidRDefault="008953C0" w:rsidP="008953C0">
      <w:pPr>
        <w:widowControl/>
        <w:shd w:val="clear" w:color="auto" w:fill="FFFFFF"/>
        <w:ind w:firstLine="567"/>
        <w:rPr>
          <w:rFonts w:eastAsia="Times New Roman"/>
          <w:sz w:val="23"/>
          <w:szCs w:val="23"/>
          <w:lang w:eastAsia="lv-LV"/>
        </w:rPr>
      </w:pPr>
    </w:p>
    <w:p w14:paraId="3E4A17B7" w14:textId="77777777" w:rsidR="008953C0" w:rsidRPr="008953C0" w:rsidRDefault="0068483B" w:rsidP="008953C0">
      <w:pPr>
        <w:widowControl/>
        <w:shd w:val="clear" w:color="auto" w:fill="FFFFFF"/>
        <w:ind w:firstLine="567"/>
        <w:rPr>
          <w:rFonts w:eastAsia="Times New Roman"/>
          <w:i/>
          <w:iCs/>
          <w:sz w:val="23"/>
          <w:szCs w:val="23"/>
        </w:rPr>
      </w:pPr>
      <w:r w:rsidRPr="008953C0">
        <w:rPr>
          <w:rFonts w:eastAsia="Times New Roman"/>
          <w:i/>
          <w:iCs/>
          <w:sz w:val="23"/>
          <w:szCs w:val="23"/>
        </w:rPr>
        <w:t>Civiltiesiskā atbildība</w:t>
      </w:r>
    </w:p>
    <w:p w14:paraId="721E0D0A" w14:textId="77777777" w:rsidR="008953C0" w:rsidRPr="008953C0" w:rsidRDefault="0068483B" w:rsidP="008953C0">
      <w:pPr>
        <w:widowControl/>
        <w:shd w:val="clear" w:color="auto" w:fill="FFFFFF"/>
        <w:ind w:firstLine="567"/>
        <w:rPr>
          <w:rFonts w:eastAsia="Times New Roman"/>
          <w:sz w:val="23"/>
          <w:szCs w:val="23"/>
        </w:rPr>
      </w:pPr>
      <w:r w:rsidRPr="008953C0">
        <w:rPr>
          <w:rFonts w:eastAsia="Times New Roman"/>
          <w:sz w:val="23"/>
          <w:szCs w:val="23"/>
        </w:rPr>
        <w:t>Skaidrojam, ka civiltiesībās civiltiesisko atbildību izmanto šādu mērķu sasniegšanai:</w:t>
      </w:r>
    </w:p>
    <w:p w14:paraId="1854857D" w14:textId="77777777" w:rsidR="008953C0" w:rsidRPr="008953C0" w:rsidRDefault="0068483B" w:rsidP="008953C0">
      <w:pPr>
        <w:widowControl/>
        <w:shd w:val="clear" w:color="auto" w:fill="FFFFFF"/>
        <w:ind w:firstLine="567"/>
        <w:rPr>
          <w:rFonts w:eastAsia="Times New Roman"/>
          <w:sz w:val="23"/>
          <w:szCs w:val="23"/>
        </w:rPr>
      </w:pPr>
      <w:r w:rsidRPr="008953C0">
        <w:rPr>
          <w:rFonts w:eastAsia="Times New Roman"/>
          <w:sz w:val="23"/>
          <w:szCs w:val="23"/>
        </w:rPr>
        <w:t>1) lai atjaunotu pēc iespējas tādu stāvokli, kāds būtu tad, ja neatļautā darbība nebūtu notikusi un nebūtu izjaukusi relatīvi stabilo kreditora (komersanta) mantisko stāvokli vai kaitējusi ar likuma aizsargātiem nemantiskiem labumiem (personas dzīvībai un veselībai);</w:t>
      </w:r>
    </w:p>
    <w:p w14:paraId="0DD7C48E" w14:textId="77777777" w:rsidR="008953C0" w:rsidRPr="008953C0" w:rsidRDefault="0068483B" w:rsidP="008953C0">
      <w:pPr>
        <w:widowControl/>
        <w:shd w:val="clear" w:color="auto" w:fill="FFFFFF"/>
        <w:ind w:firstLine="567"/>
        <w:rPr>
          <w:sz w:val="23"/>
          <w:szCs w:val="23"/>
        </w:rPr>
      </w:pPr>
      <w:r w:rsidRPr="008953C0">
        <w:rPr>
          <w:rFonts w:eastAsia="Times New Roman"/>
          <w:sz w:val="23"/>
          <w:szCs w:val="23"/>
        </w:rPr>
        <w:lastRenderedPageBreak/>
        <w:t xml:space="preserve">2) lai iedarbotos preventīvi uz tiesību aizskārēju (individuālā </w:t>
      </w:r>
      <w:proofErr w:type="spellStart"/>
      <w:r w:rsidRPr="008953C0">
        <w:rPr>
          <w:rFonts w:eastAsia="Times New Roman"/>
          <w:sz w:val="23"/>
          <w:szCs w:val="23"/>
        </w:rPr>
        <w:t>prevencija</w:t>
      </w:r>
      <w:proofErr w:type="spellEnd"/>
      <w:r w:rsidRPr="008953C0">
        <w:rPr>
          <w:rFonts w:eastAsia="Times New Roman"/>
          <w:sz w:val="23"/>
          <w:szCs w:val="23"/>
        </w:rPr>
        <w:t xml:space="preserve">) un citiem iespējamiem tiesību aizskārējiem (vispārējā </w:t>
      </w:r>
      <w:proofErr w:type="spellStart"/>
      <w:r w:rsidRPr="008953C0">
        <w:rPr>
          <w:rFonts w:eastAsia="Times New Roman"/>
          <w:sz w:val="23"/>
          <w:szCs w:val="23"/>
        </w:rPr>
        <w:t>prevencija</w:t>
      </w:r>
      <w:proofErr w:type="spellEnd"/>
      <w:r w:rsidRPr="008953C0">
        <w:rPr>
          <w:rFonts w:eastAsia="Times New Roman"/>
          <w:sz w:val="23"/>
          <w:szCs w:val="23"/>
        </w:rPr>
        <w:t>).</w:t>
      </w:r>
      <w:r w:rsidRPr="008953C0">
        <w:rPr>
          <w:sz w:val="23"/>
          <w:szCs w:val="23"/>
        </w:rPr>
        <w:t xml:space="preserve"> Ne vien konkrēts indivīds, bet arī sabiedrība kopumā ir ieinteresēta, lai tās tiesības tiktu aizsargātas un netiktu nodarīts kaitējums personas dzīvībai un veselībai, personas īpašumam, vai nodarīts kaitējums videi (piemēram, kāds var rasties, ja ir patvaļīgi ierīkots pieslēgums pirms komercuzskaites mēraparāta, kas var radīt sprādziena bīstamības draudus, tādā veidā ietekmējot ne vien konkrēta dabasgāzes lietotāja un energoapgādes komersanta īpašumu, bet arī nodarīt kaitējumu citu personu dzīvībai, veselībai vai īpašumam);</w:t>
      </w:r>
    </w:p>
    <w:p w14:paraId="64A37EFF" w14:textId="77777777" w:rsidR="008953C0" w:rsidRPr="008953C0" w:rsidRDefault="0068483B" w:rsidP="008953C0">
      <w:pPr>
        <w:widowControl/>
        <w:shd w:val="clear" w:color="auto" w:fill="FFFFFF"/>
        <w:ind w:firstLine="567"/>
        <w:rPr>
          <w:sz w:val="23"/>
          <w:szCs w:val="23"/>
        </w:rPr>
      </w:pPr>
      <w:r w:rsidRPr="008953C0">
        <w:rPr>
          <w:sz w:val="23"/>
          <w:szCs w:val="23"/>
        </w:rPr>
        <w:t xml:space="preserve">3) lai </w:t>
      </w:r>
      <w:r w:rsidRPr="008953C0">
        <w:rPr>
          <w:i/>
          <w:iCs/>
          <w:sz w:val="23"/>
          <w:szCs w:val="23"/>
        </w:rPr>
        <w:t>sodītu</w:t>
      </w:r>
      <w:r w:rsidRPr="008953C0">
        <w:rPr>
          <w:sz w:val="23"/>
          <w:szCs w:val="23"/>
        </w:rPr>
        <w:t xml:space="preserve">. Tomēr </w:t>
      </w:r>
      <w:r w:rsidRPr="008953C0">
        <w:rPr>
          <w:i/>
          <w:iCs/>
          <w:sz w:val="23"/>
          <w:szCs w:val="23"/>
        </w:rPr>
        <w:t>sodīšanas funkcija</w:t>
      </w:r>
      <w:r w:rsidRPr="008953C0">
        <w:rPr>
          <w:sz w:val="23"/>
          <w:szCs w:val="23"/>
        </w:rPr>
        <w:t xml:space="preserve"> atšķirībā no krimināltiesībām un administratīvo pārkāpumu tiesībām </w:t>
      </w:r>
      <w:r w:rsidRPr="008953C0">
        <w:rPr>
          <w:i/>
          <w:iCs/>
          <w:sz w:val="23"/>
          <w:szCs w:val="23"/>
        </w:rPr>
        <w:t>nav raksturīga civiltiesībām</w:t>
      </w:r>
      <w:r w:rsidRPr="008953C0">
        <w:rPr>
          <w:sz w:val="23"/>
          <w:szCs w:val="23"/>
        </w:rPr>
        <w:t xml:space="preserve">. Krimināltiesībās un administratīvo pārkāpumu tiesībās sodi ir īpaši valsts piespiedu līdzekļi, ko, pirmkārt, piemēro attiecīgas valsts institūcijas un, otrkārt, kas naudas maksājuma vai konfiskācijas gadījumā tiek ieskaitīti valsts ienākumos un izlietoti sabiedriskajām vajadzībām. Tā ir būtiska atšķirība no civiltiesībām, kur civiltiesiskās atbildības iestāšanās gadījumā, piemēram, līgumsoda piemērošanas gadījumā vienai privātpersonai ir mantisks ieguvums, savukārt otrai ir mantisks zaudējums. Tāpat civiltiesībās piedzinējs (iesaistītais komersants) nav objektīvs un neitrāls “soda mēra” noteicējs, bet gan ir ieinteresēts pavairot savu mantu. Arī tiesām, kas izšķir civiltiesisku strīdu, civilprocesa ietvaros, kur valda sacīkstes un </w:t>
      </w:r>
      <w:proofErr w:type="spellStart"/>
      <w:r w:rsidRPr="008953C0">
        <w:rPr>
          <w:sz w:val="23"/>
          <w:szCs w:val="23"/>
        </w:rPr>
        <w:t>dispozivitātes</w:t>
      </w:r>
      <w:proofErr w:type="spellEnd"/>
      <w:r w:rsidRPr="008953C0">
        <w:rPr>
          <w:sz w:val="23"/>
          <w:szCs w:val="23"/>
        </w:rPr>
        <w:t xml:space="preserve"> princips, nav pienākuma un tiesiska pamata vērtēt personas izdarīta pārkāpuma sociālo bīstamību, pārkāpēja subjektīvo attieksmi pret pārkāpumu (vai tas izdarīts ar nodomu), vainu mīkstinošus vai pastiprinošus apstākļus, sodāmību un citus soda noteikšanas kritērijus, kādi ir tiesām kriminālprocesā. Taču, lai gan līgumsoda samaksa vai zaudējumu atlīdzināšana pārsvarā kalpo kreditora mantiskā stāvokļa atjaunošanai, parādniekam tā ir nelabvēlīga un var tikt uztverta arī kā </w:t>
      </w:r>
      <w:r w:rsidRPr="008953C0">
        <w:rPr>
          <w:i/>
          <w:iCs/>
          <w:sz w:val="23"/>
          <w:szCs w:val="23"/>
        </w:rPr>
        <w:t>sods</w:t>
      </w:r>
      <w:r w:rsidRPr="008953C0">
        <w:rPr>
          <w:sz w:val="23"/>
          <w:szCs w:val="23"/>
        </w:rPr>
        <w:t xml:space="preserve">. Tāpēc tiek uzskatīts, ka arī civiltiesībās atbildībai zināmā mērā piemīt sodīšanas funkcija, taču </w:t>
      </w:r>
      <w:r w:rsidRPr="008953C0">
        <w:rPr>
          <w:i/>
          <w:iCs/>
          <w:sz w:val="23"/>
          <w:szCs w:val="23"/>
        </w:rPr>
        <w:t>tā nav prioritāra un tās nozīme nav pārspīlējama</w:t>
      </w:r>
      <w:r w:rsidRPr="008953C0">
        <w:rPr>
          <w:sz w:val="23"/>
          <w:szCs w:val="23"/>
        </w:rPr>
        <w:t>.</w:t>
      </w:r>
      <w:r w:rsidRPr="008953C0">
        <w:rPr>
          <w:rStyle w:val="FootnoteReference"/>
          <w:sz w:val="23"/>
          <w:szCs w:val="23"/>
        </w:rPr>
        <w:footnoteReference w:id="1"/>
      </w:r>
    </w:p>
    <w:p w14:paraId="2A6B9882" w14:textId="77777777" w:rsidR="008953C0" w:rsidRPr="008953C0" w:rsidRDefault="0068483B" w:rsidP="008953C0">
      <w:pPr>
        <w:widowControl/>
        <w:shd w:val="clear" w:color="auto" w:fill="FFFFFF"/>
        <w:ind w:firstLine="567"/>
        <w:rPr>
          <w:sz w:val="23"/>
          <w:szCs w:val="23"/>
        </w:rPr>
      </w:pPr>
      <w:r w:rsidRPr="008953C0">
        <w:rPr>
          <w:sz w:val="23"/>
          <w:szCs w:val="23"/>
        </w:rPr>
        <w:t xml:space="preserve">Civiltiesiskā atbildība izpaužas, piemērojot tiesiskās aizsardzības līdzekļus, lai dotu apmierinājumu tam, kura tiesības ir aizskartas. Tiesisko aizsardzības līdzekļu mērķis ir iespēju robežās novērst vai mazināt neatļautās darbības sekas. Turklāt </w:t>
      </w:r>
      <w:r w:rsidRPr="008953C0">
        <w:rPr>
          <w:i/>
          <w:iCs/>
          <w:sz w:val="23"/>
          <w:szCs w:val="23"/>
        </w:rPr>
        <w:t>tiesiskās aizsardzības līdzeklim ne vien ir jānodrošina mantisko attiecību ekvivalenci, bet arī jānovērš iedzīvošanos uz cita rēķina</w:t>
      </w:r>
      <w:r w:rsidRPr="008953C0">
        <w:rPr>
          <w:b/>
          <w:bCs/>
          <w:sz w:val="23"/>
          <w:szCs w:val="23"/>
        </w:rPr>
        <w:t>.</w:t>
      </w:r>
      <w:r w:rsidRPr="008953C0">
        <w:rPr>
          <w:sz w:val="23"/>
          <w:szCs w:val="23"/>
        </w:rPr>
        <w:t xml:space="preserve"> Civiltiesībās plaši atzīts, ka par atbildības izpausmi uzskatāmi tādi tiesiskās aizsardzības līdzekļi kā zaudējumu atlīdzināšana, kompensācijas samaksa par nemantisku kaitējumu, līgumsods, arī tiesas noteikti aizliegumi. Tie ir vienlīdz pieejami jebkurā civiltiesību nozarē, tajā skaitā sniedzot arī energoapgādes pakalpojumus. Turklāt vēršam uzmanību, ka minētie tiesiskās aizsardzības līdzekļi ir pieejami pat tad, ja tie nav atrunāti Enerģētikas likumā vai attiecīgos Ministru kabineta noteikumos.</w:t>
      </w:r>
    </w:p>
    <w:p w14:paraId="7B1051E4" w14:textId="77777777" w:rsidR="008953C0" w:rsidRPr="008953C0" w:rsidRDefault="0068483B" w:rsidP="008953C0">
      <w:pPr>
        <w:widowControl/>
        <w:shd w:val="clear" w:color="auto" w:fill="FFFFFF"/>
        <w:ind w:firstLine="567"/>
        <w:rPr>
          <w:sz w:val="23"/>
          <w:szCs w:val="23"/>
        </w:rPr>
      </w:pPr>
      <w:r w:rsidRPr="008953C0">
        <w:rPr>
          <w:sz w:val="23"/>
          <w:szCs w:val="23"/>
        </w:rPr>
        <w:t xml:space="preserve">Vienlaikus vēršama uzmanība tam, ka minēto tiesiskās aizsardzības līdzekļu būtība un to piemērošanas pamatprincipi ir noteikti Civillikumā, kuru pieņēmis likumdevējs - Saeima. Ievērojot normatīvo aktu juridiskā spēka hierarhiju un tiesību normu kolīzijas principu, tikai Saeimai ar attiecīgu likumu ir tiesības šos tiesiskos aizsardzības līdzekļus pārskatīt, pilnveidot, pielāgot konkrētai nozarei vai radīt jaunus tiesiskās aizsardzības līdzekļu veidus, vai nozares regulējumā atkāpties no vispārējiem tiesiskās aizsardzības līdzekļu principiem, kas nostiprināti Civillikumā, detalizēti izvērtējot šādas rīcības pamatotību un nepieciešamību konkrētai nozarei, ievērojot tās specifiku. Tieslietu ministrijas ieskatā Ministru kabinetam, izdodot ārēju normatīvu aktu, ir jārespektē likumdevēja griba un likumos noteiktie principi, kā īstenojami tiesiskās aizsardzības līdzekļi civiltiesībās. Turklāt, Tieslietu ministrijas ieskatā, ja Saeima ir nolēmusi </w:t>
      </w:r>
      <w:r w:rsidRPr="008953C0">
        <w:rPr>
          <w:i/>
          <w:iCs/>
          <w:sz w:val="23"/>
          <w:szCs w:val="23"/>
        </w:rPr>
        <w:t xml:space="preserve">pielāgot </w:t>
      </w:r>
      <w:r w:rsidRPr="008953C0">
        <w:rPr>
          <w:sz w:val="23"/>
          <w:szCs w:val="23"/>
        </w:rPr>
        <w:t xml:space="preserve">Civillikumā paredzētos tiesiskās aizsardzības līdzekļus nozares speciālajā regulējumā, tiem ir jābūt pietiekami noteiktiem un skaidriem, lai būtu saprotama, </w:t>
      </w:r>
      <w:r w:rsidRPr="008953C0">
        <w:rPr>
          <w:i/>
          <w:iCs/>
          <w:sz w:val="23"/>
          <w:szCs w:val="23"/>
        </w:rPr>
        <w:t>pirmkārt,</w:t>
      </w:r>
      <w:r w:rsidRPr="008953C0">
        <w:rPr>
          <w:sz w:val="23"/>
          <w:szCs w:val="23"/>
        </w:rPr>
        <w:t xml:space="preserve"> tiesiskās aizsardzības līdzekļa būtība; </w:t>
      </w:r>
      <w:r w:rsidRPr="008953C0">
        <w:rPr>
          <w:i/>
          <w:iCs/>
          <w:sz w:val="23"/>
          <w:szCs w:val="23"/>
        </w:rPr>
        <w:t xml:space="preserve">otrkārt, </w:t>
      </w:r>
      <w:r w:rsidRPr="008953C0">
        <w:rPr>
          <w:sz w:val="23"/>
          <w:szCs w:val="23"/>
        </w:rPr>
        <w:t xml:space="preserve">tā piemērošanas kārtība; </w:t>
      </w:r>
      <w:r w:rsidRPr="008953C0">
        <w:rPr>
          <w:i/>
          <w:iCs/>
          <w:sz w:val="23"/>
          <w:szCs w:val="23"/>
        </w:rPr>
        <w:t xml:space="preserve">treškārt, </w:t>
      </w:r>
      <w:r w:rsidRPr="008953C0">
        <w:rPr>
          <w:sz w:val="23"/>
          <w:szCs w:val="23"/>
        </w:rPr>
        <w:t xml:space="preserve">vai un kādā mērā piemērojams Civillikumā ietvertais vispārīgais regulējums; jo šāds nozares speciālais regulējums rada personas tiesību aizskārumu - mantiskas sekas neatļautās darbības veicējam. Tieslietu ministrijas ieskatā, nebūtu atbalstāma situācija, kur nav skaidras tiesiskās sekas, kas iestājas personai tiesību pārkāpuma gadījumā. Lai būtu skaidras tiesiskās sekas, kādas iestājas personai par neatļautu darbību, tiesību normai (nozares speciālajam regulējumam) ir jāsatur skaidri noteikumi par normā izmantoto tiesību aizsardzības līdzekli – piemēram, vai tas ir līgumsods, pienākums atlīdzināt </w:t>
      </w:r>
      <w:r w:rsidRPr="008953C0">
        <w:rPr>
          <w:sz w:val="23"/>
          <w:szCs w:val="23"/>
        </w:rPr>
        <w:lastRenderedPageBreak/>
        <w:t>zaudējumus vai pat stingrā tiešā atbildība. Vienlaikus kritiski būtu vērtējams, vai ar normatīvu aktu piešķirtās tiesības privātpersonai (energoapgādes komersantam) pret citu privātpersonu (tiesību aizskārēju) piemērot civiltiesiskus aizsardzības līdzekļus, lai novērstu administratīvu vai kriminālu pārkāpumu iestāšanos vai lai “sodītu” personu par administratīviem vai kriminālpārkāpumiem, būtu atbalstāmas, piemēram, ja persona ir radījusi sev iespēju izmantot cita īpašumu bez maksas vai apdraudējusi sabiedrības intereses vai citas personas dzīvību.</w:t>
      </w:r>
    </w:p>
    <w:p w14:paraId="4277B4D6" w14:textId="6C32478C" w:rsidR="008953C0" w:rsidRPr="008953C0" w:rsidRDefault="0068483B" w:rsidP="008953C0">
      <w:pPr>
        <w:widowControl/>
        <w:shd w:val="clear" w:color="auto" w:fill="FFFFFF"/>
        <w:ind w:firstLine="567"/>
        <w:rPr>
          <w:sz w:val="23"/>
          <w:szCs w:val="23"/>
        </w:rPr>
      </w:pPr>
      <w:r w:rsidRPr="008953C0">
        <w:rPr>
          <w:sz w:val="23"/>
          <w:szCs w:val="23"/>
        </w:rPr>
        <w:t>Turpmāk vēršam uzmanību uz civiltiesiskās aizsardzības līdzekļu būtiskākajiem principiem.</w:t>
      </w:r>
    </w:p>
    <w:p w14:paraId="5FEFA8B5" w14:textId="77777777" w:rsidR="008953C0" w:rsidRPr="008953C0" w:rsidRDefault="008953C0" w:rsidP="008953C0">
      <w:pPr>
        <w:widowControl/>
        <w:shd w:val="clear" w:color="auto" w:fill="FFFFFF"/>
        <w:ind w:firstLine="567"/>
        <w:rPr>
          <w:sz w:val="23"/>
          <w:szCs w:val="23"/>
        </w:rPr>
      </w:pPr>
    </w:p>
    <w:p w14:paraId="09254FBC" w14:textId="77777777" w:rsidR="008953C0" w:rsidRPr="008953C0" w:rsidRDefault="0068483B" w:rsidP="008953C0">
      <w:pPr>
        <w:widowControl/>
        <w:shd w:val="clear" w:color="auto" w:fill="FFFFFF"/>
        <w:ind w:firstLine="567"/>
        <w:rPr>
          <w:sz w:val="23"/>
          <w:szCs w:val="23"/>
        </w:rPr>
      </w:pPr>
      <w:r w:rsidRPr="008953C0">
        <w:rPr>
          <w:i/>
          <w:iCs/>
          <w:sz w:val="23"/>
          <w:szCs w:val="23"/>
        </w:rPr>
        <w:t>Zaudējumu atlīdzināšanas institūts un zaudējumu pilnas atlīdzības pienākums</w:t>
      </w:r>
    </w:p>
    <w:p w14:paraId="198C328D" w14:textId="77777777" w:rsidR="008953C0" w:rsidRPr="008953C0" w:rsidRDefault="0068483B" w:rsidP="008953C0">
      <w:pPr>
        <w:widowControl/>
        <w:shd w:val="clear" w:color="auto" w:fill="FFFFFF"/>
        <w:ind w:firstLine="567"/>
        <w:rPr>
          <w:sz w:val="23"/>
          <w:szCs w:val="23"/>
        </w:rPr>
      </w:pPr>
      <w:r w:rsidRPr="008953C0">
        <w:rPr>
          <w:sz w:val="23"/>
          <w:szCs w:val="23"/>
        </w:rPr>
        <w:t>Kā viens no ekvivalences principa īstenošanas līdzekļiem ir zaudējumu pilnas atlīdzības pienākums visos civiltiesību aizskāruma gadījumos, kas nostiprināts Civillikuma 1779. pantā, nosakot, ka katram ir pienākums atlīdzināt zaudējumus, ko viņš ar savu darbību vai bezdarbību nodarījis. Zaudējumu atlīdzināšanas pienākums ir universāls līdzeklis, kas pastāv uz likuma pamata un par kuru pusēm nav īpaši jāvienojas. Zaudējumu atlīdzināšana novērš tiesību aizskāruma sekas, atjauno mantisko stāvokli vai nodrošina tādu stāvokli, kāds būtu, ja nebūtu noticis tiesību pārkāpums. Zaudējumu atlīdzināšanas prasījuma un piedziņas pamati ir: 1) tiesību aizskārēja prettiesiska un neattaisnojama rīcība, kas attiecīgajos gadījumos ietver arī novērtējumu no vainojamības viedokļa; 2) zaudējumu esamība un 3) cēloniskais sakars starp zaudējumiem un neatļauto darbību.</w:t>
      </w:r>
      <w:r w:rsidRPr="008953C0">
        <w:rPr>
          <w:rStyle w:val="FootnoteReference"/>
          <w:sz w:val="23"/>
          <w:szCs w:val="23"/>
        </w:rPr>
        <w:footnoteReference w:id="2"/>
      </w:r>
    </w:p>
    <w:p w14:paraId="61034478" w14:textId="77777777" w:rsidR="008953C0" w:rsidRPr="008953C0" w:rsidRDefault="0068483B" w:rsidP="008953C0">
      <w:pPr>
        <w:widowControl/>
        <w:shd w:val="clear" w:color="auto" w:fill="FFFFFF"/>
        <w:ind w:firstLine="567"/>
        <w:rPr>
          <w:sz w:val="23"/>
          <w:szCs w:val="23"/>
        </w:rPr>
      </w:pPr>
      <w:r w:rsidRPr="008953C0">
        <w:rPr>
          <w:rFonts w:eastAsia="Times New Roman"/>
          <w:sz w:val="23"/>
          <w:szCs w:val="23"/>
          <w:lang w:eastAsia="lv-LV"/>
        </w:rPr>
        <w:t xml:space="preserve">Lai gan Civillikumā ir nostiprināti zaudējumu noteikšanas un novērtēšanas pamatprincipi, papildus tam dažādu jomu speciālajos normatīvajos aktos var noteikt specifiskākus atbildības aspektus (piemēram, ieviešot formulas zaudējumu aprēķināšanai, prezumēt zaudējumus). Lai konkrētajā jomā sasniegtu mantisko attiecību ekvivalenci, speciālajos normatīvajos aktos var noteikt no Civillikuma atšķirīgu regulējumu (piemēram, nostiprināt </w:t>
      </w:r>
      <w:r w:rsidRPr="008953C0">
        <w:rPr>
          <w:rFonts w:eastAsia="Times New Roman"/>
          <w:i/>
          <w:iCs/>
          <w:sz w:val="23"/>
          <w:szCs w:val="23"/>
          <w:lang w:eastAsia="lv-LV"/>
        </w:rPr>
        <w:t>stingro tiešo atbildību</w:t>
      </w:r>
      <w:r w:rsidRPr="008953C0">
        <w:rPr>
          <w:rFonts w:eastAsia="Times New Roman"/>
          <w:sz w:val="23"/>
          <w:szCs w:val="23"/>
          <w:lang w:eastAsia="lv-LV"/>
        </w:rPr>
        <w:t>). Līdz ar to likumdevējs, ņemot vērā konkrētās jomas specifiku (piemēram, dabasgāzes piegādes jomu, dabasgāzes piegādes īpatnības, dabasgāzes īpašības, tās bīstamību, izlietotās dabasgāzes konstatēšanas iespējamību, un citiem aspektiem), var paredzēt un noteikt, piemēram, kā novērtēt pārkāpuma gadījumā nodarīto kaitējumu, kā aprēķināt radušās izmaksas energoapgādes komersantam, kā konstatēt patērēto dabasgāzi, kā arī to var deleģēt noteikt Ministru kabinetam. Tādā veidā likumdevējs var izvēlēties, piemēram, atvieglot pusēm jautājumu par zaudējumu apmēra noteikšanu un pierādīšanu (nosakot zaudējumu aprēķināšanas formulas, vai izvirzot kritērijus, nosakot potenciālos zaudējumus), kā arī citiem zaudējumu noteikšanas aspektiem (piemēram, nosakot atbildīgo subjektu (</w:t>
      </w:r>
      <w:r w:rsidR="00641846" w:rsidRPr="008953C0">
        <w:rPr>
          <w:rFonts w:eastAsia="Times New Roman"/>
          <w:sz w:val="23"/>
          <w:szCs w:val="23"/>
          <w:lang w:eastAsia="lv-LV"/>
        </w:rPr>
        <w:t>enerģijas</w:t>
      </w:r>
      <w:r w:rsidRPr="008953C0">
        <w:rPr>
          <w:rFonts w:eastAsia="Times New Roman"/>
          <w:sz w:val="23"/>
          <w:szCs w:val="23"/>
          <w:lang w:eastAsia="lv-LV"/>
        </w:rPr>
        <w:t xml:space="preserve"> lietotājs</w:t>
      </w:r>
      <w:r w:rsidR="00641846" w:rsidRPr="008953C0">
        <w:rPr>
          <w:rFonts w:eastAsia="Times New Roman"/>
          <w:sz w:val="23"/>
          <w:szCs w:val="23"/>
          <w:lang w:eastAsia="lv-LV"/>
        </w:rPr>
        <w:t xml:space="preserve"> vai</w:t>
      </w:r>
      <w:r w:rsidRPr="008953C0">
        <w:rPr>
          <w:rFonts w:eastAsia="Times New Roman"/>
          <w:sz w:val="23"/>
          <w:szCs w:val="23"/>
          <w:lang w:eastAsia="lv-LV"/>
        </w:rPr>
        <w:t xml:space="preserve"> piegādes līguma puse), kurš ir atbildīgs par zaudējumu segšanu neatkarīgi no tā, vai ir veicis neatļautu darbību un zaudējumus radījis; vai konkrētā jomā nostiprināt stingro tiešo atbildību.</w:t>
      </w:r>
    </w:p>
    <w:p w14:paraId="7C7D8F56" w14:textId="08281048" w:rsidR="008953C0" w:rsidRPr="008953C0" w:rsidRDefault="0068483B" w:rsidP="008953C0">
      <w:pPr>
        <w:widowControl/>
        <w:shd w:val="clear" w:color="auto" w:fill="FFFFFF"/>
        <w:ind w:firstLine="567"/>
        <w:rPr>
          <w:rFonts w:eastAsia="Times New Roman"/>
          <w:sz w:val="23"/>
          <w:szCs w:val="23"/>
          <w:lang w:eastAsia="lv-LV"/>
        </w:rPr>
      </w:pPr>
      <w:r w:rsidRPr="008953C0">
        <w:rPr>
          <w:rFonts w:eastAsia="Times New Roman"/>
          <w:sz w:val="23"/>
          <w:szCs w:val="23"/>
          <w:lang w:eastAsia="lv-LV"/>
        </w:rPr>
        <w:t xml:space="preserve">Tieslietu ministrijas ieskatā Saeimai ir rīcības brīvība, precizējot vai nosakot zaudējuma apjoma noteikšanas un aprēķināšanas kārtību konkrētā jomā, tomēr vienlaikus, šai kārtībai, kas tiek paredzēta nozares speciālajā regulējumā, būtu jāatbilst Civillikumā nostiprinātajiem vispārējiem principiem. Tāpat kārtībai būtu ne vien jānodrošina pušu starpā mantiskā ekvivalence, bet arī jānovērš iespēja vienai pusei iedzīvoties uz otras puses rēķina. Savukārt, ja tiek paredzēta atšķirīga kārtība kā Civillikumā un, tā var aizskar personas tiesības un brīvības, likumdevējam sava izvēle ir jāpamato, tajā skaitā izvērtējot šāda regulējuma atbilstību Latvijas Republikas Satversmei. Tādējādi Tieslietu ministrijas ieskatā nozares regulējumā ietvertajai zaudējumu atlīdzināšanas kārtībai ir jābūt </w:t>
      </w:r>
      <w:r w:rsidRPr="008953C0">
        <w:rPr>
          <w:rFonts w:eastAsia="Times New Roman"/>
          <w:sz w:val="23"/>
          <w:szCs w:val="23"/>
        </w:rPr>
        <w:t>noteiktai ar likumu, noteiktam leģitīma mērķa labad un jāatbilst samērīguma principam</w:t>
      </w:r>
      <w:r w:rsidRPr="008953C0">
        <w:rPr>
          <w:rFonts w:eastAsia="Times New Roman"/>
          <w:sz w:val="23"/>
          <w:szCs w:val="23"/>
          <w:lang w:eastAsia="lv-LV"/>
        </w:rPr>
        <w:t>.</w:t>
      </w:r>
    </w:p>
    <w:p w14:paraId="04055C8C" w14:textId="77777777" w:rsidR="008953C0" w:rsidRPr="008953C0" w:rsidRDefault="008953C0" w:rsidP="008953C0">
      <w:pPr>
        <w:widowControl/>
        <w:shd w:val="clear" w:color="auto" w:fill="FFFFFF"/>
        <w:ind w:firstLine="567"/>
        <w:rPr>
          <w:sz w:val="23"/>
          <w:szCs w:val="23"/>
        </w:rPr>
      </w:pPr>
    </w:p>
    <w:p w14:paraId="1EB83776" w14:textId="77777777" w:rsidR="008953C0" w:rsidRPr="008953C0" w:rsidRDefault="0068483B" w:rsidP="008953C0">
      <w:pPr>
        <w:widowControl/>
        <w:shd w:val="clear" w:color="auto" w:fill="FFFFFF"/>
        <w:ind w:firstLine="567"/>
        <w:rPr>
          <w:sz w:val="23"/>
          <w:szCs w:val="23"/>
        </w:rPr>
      </w:pPr>
      <w:r w:rsidRPr="008953C0">
        <w:rPr>
          <w:i/>
          <w:iCs/>
          <w:sz w:val="23"/>
          <w:szCs w:val="23"/>
        </w:rPr>
        <w:t>Līgumsoda institūts.</w:t>
      </w:r>
    </w:p>
    <w:p w14:paraId="66D15148" w14:textId="77777777" w:rsidR="008953C0" w:rsidRPr="008953C0" w:rsidRDefault="0068483B" w:rsidP="008953C0">
      <w:pPr>
        <w:widowControl/>
        <w:shd w:val="clear" w:color="auto" w:fill="FFFFFF"/>
        <w:ind w:firstLine="567"/>
        <w:rPr>
          <w:sz w:val="23"/>
          <w:szCs w:val="23"/>
        </w:rPr>
      </w:pPr>
      <w:r w:rsidRPr="008953C0">
        <w:rPr>
          <w:rFonts w:eastAsia="Times New Roman"/>
          <w:sz w:val="23"/>
          <w:szCs w:val="23"/>
        </w:rPr>
        <w:t xml:space="preserve">Līgumsods ir viens no saistību tiesību pastiprināšanas līdzekļiem, kura </w:t>
      </w:r>
      <w:r w:rsidRPr="008953C0">
        <w:rPr>
          <w:sz w:val="23"/>
          <w:szCs w:val="23"/>
        </w:rPr>
        <w:t>mērķis ir radīt parādniekam nelabvēlīgas mantiskas sekas saistību pārkāpuma gadījumā un ietekmēt parādnieka gribu izpildīt saistību. Līgumsodam ir divējāda daba. No vienas puses, tas ir saistības pastiprinājums un iedarbojas kā nelabvēlīgu seku draudi, kamēr saistība vēl nav pārkāpta, tātad darbojas preventīvi. No otras puses, līgumsods kļūst par atbildības izpausmi, neizdevīgām mantiskām sekām (darbojas kompensējoši) tad, ja otra puse tomēr ir pārkāpusi noteikumus.</w:t>
      </w:r>
      <w:r w:rsidRPr="008953C0">
        <w:rPr>
          <w:rStyle w:val="FootnoteReference"/>
          <w:sz w:val="23"/>
          <w:szCs w:val="23"/>
        </w:rPr>
        <w:footnoteReference w:id="3"/>
      </w:r>
      <w:r w:rsidRPr="008953C0">
        <w:rPr>
          <w:sz w:val="23"/>
          <w:szCs w:val="23"/>
        </w:rPr>
        <w:t xml:space="preserve"> Līgumsods ir piemērojams tikai likumā </w:t>
      </w:r>
      <w:r w:rsidRPr="008953C0">
        <w:rPr>
          <w:sz w:val="23"/>
          <w:szCs w:val="23"/>
        </w:rPr>
        <w:lastRenderedPageBreak/>
        <w:t>vai līgumā īpaši paredzētos gadījumos. Ja līgumsodu salīdzina ar zaudējumu atlīdzināšanu, tad līgumsodu praksē ir tendence izmantot kā vienkāršāku risinājumu civiltiesiskajās attiecībās, ņemot vērā to, ka zaudējumu atlīdzināšana prasa zaudējumu rašanās un to cēloniskā sakara ar pārkāpumu pierādīšanu, turpretī līgumsoda gadījumā pietiek ar pārkāpuma konstatēšanu.</w:t>
      </w:r>
      <w:r w:rsidRPr="008953C0">
        <w:rPr>
          <w:rStyle w:val="FootnoteReference"/>
          <w:sz w:val="23"/>
          <w:szCs w:val="23"/>
        </w:rPr>
        <w:footnoteReference w:id="4"/>
      </w:r>
      <w:r w:rsidRPr="008953C0">
        <w:rPr>
          <w:sz w:val="23"/>
          <w:szCs w:val="23"/>
        </w:rPr>
        <w:t xml:space="preserve"> Plaša un pārmērīga līgumsoda izmantošana arī noveda pie būtiska regulējuma maiņas Civillikumā un šaurākas līgumsoda izpratnes.</w:t>
      </w:r>
    </w:p>
    <w:p w14:paraId="756FDCB4" w14:textId="208343EB" w:rsidR="0068483B" w:rsidRPr="008953C0" w:rsidRDefault="0068483B" w:rsidP="008953C0">
      <w:pPr>
        <w:widowControl/>
        <w:shd w:val="clear" w:color="auto" w:fill="FFFFFF"/>
        <w:ind w:firstLine="567"/>
        <w:rPr>
          <w:sz w:val="23"/>
          <w:szCs w:val="23"/>
        </w:rPr>
      </w:pPr>
      <w:r w:rsidRPr="008953C0">
        <w:rPr>
          <w:sz w:val="23"/>
          <w:szCs w:val="23"/>
        </w:rPr>
        <w:t xml:space="preserve">Civillikuma </w:t>
      </w:r>
      <w:r w:rsidRPr="008953C0">
        <w:rPr>
          <w:rFonts w:eastAsia="Times New Roman"/>
          <w:bCs/>
          <w:sz w:val="23"/>
          <w:szCs w:val="23"/>
          <w:lang w:eastAsia="lv-LV"/>
        </w:rPr>
        <w:t>1716. pants skaidro, ka</w:t>
      </w:r>
      <w:r w:rsidRPr="008953C0">
        <w:rPr>
          <w:rFonts w:eastAsia="Times New Roman"/>
          <w:sz w:val="23"/>
          <w:szCs w:val="23"/>
          <w:lang w:eastAsia="lv-LV"/>
        </w:rPr>
        <w:t xml:space="preserve"> “līgumsods ir pametums, ko kāda persona uzņemas ciest sakarā ar savu saistību neizpildi vispār, nepienācīgu izpildi vai neizpildīšanu īstā laikā (termiņā). Līgumsods par saistību neizpildi vispār ir konkrēti noteikta naudas summa vai cita mantiska vērtība, kuru nedrīkst noteikt vairākkārtīgu (atkārtotu) vai pieaugošu maksājumu vai devumu veidā. Līgumsods par saistību nepienācīgu izpildi vai neizpildīšanu īstā laikā (termiņā) var tikt noteikts pieaugošs, taču kopumā ne vairāk par 10 procentiem no pamatparāda vai galvenās saistības apmēra.” Līgumsoda samērīguma kritēriji ietverti Civillikuma 1717. pantā, kas noteic, ka “l</w:t>
      </w:r>
      <w:r w:rsidRPr="008953C0">
        <w:rPr>
          <w:sz w:val="23"/>
          <w:szCs w:val="23"/>
        </w:rPr>
        <w:t>īgumsoda apmēru noteic līdzēji, un tas nav aprobežots ar zaudējumu lielumu, kādi paredzami no līguma neizpildīšanas, taču tam jābūt samērīgam un atbilstošam godīgai darījumu praksei”.</w:t>
      </w:r>
      <w:r w:rsidRPr="008953C0">
        <w:rPr>
          <w:bCs/>
          <w:sz w:val="23"/>
          <w:szCs w:val="23"/>
        </w:rPr>
        <w:t xml:space="preserve"> Savukārt </w:t>
      </w:r>
      <w:r w:rsidRPr="008953C0">
        <w:rPr>
          <w:sz w:val="23"/>
          <w:szCs w:val="23"/>
        </w:rPr>
        <w:t>strīdus gadījumā, ja iestāsies situācija, kad parādnieks būs pārkāpis līguma nosacījumus un tam būs pienākums maksāt līgumsodu, kuru uzskatīs par nesamērīgu, tiesa līgumsodu var attiecīgi samazināt, kā to paredz Civillikuma 1724.</w:t>
      </w:r>
      <w:r w:rsidRPr="008953C0">
        <w:rPr>
          <w:sz w:val="23"/>
          <w:szCs w:val="23"/>
          <w:vertAlign w:val="superscript"/>
        </w:rPr>
        <w:t>1</w:t>
      </w:r>
      <w:r w:rsidRPr="008953C0">
        <w:rPr>
          <w:sz w:val="23"/>
          <w:szCs w:val="23"/>
        </w:rPr>
        <w:t xml:space="preserve">: “Tiesa samazina pieprasīto līgumsodu līdz saprātīgam apmēram, ja tas ir pārmērīgs, salīdzinot ar neizpildīšanas vai nepienācīgas izpildīšanas radīto zaudējumu vai ņemot vērā citus apstākļus. Ja līdzēji vienojušies, ka līgumsoda samaksa atsvabina šā soda cietēju no procentiem un augļiem, kas no viņa pienākas, kā arī zaudējumu atlīdzības, tad samazinātā līgumsoda apmērs nedrīkst būt mazāks par otram līdzējam nodarītajiem zaudējumiem.” Jānorāda, ka tiesību </w:t>
      </w:r>
      <w:r w:rsidRPr="008953C0">
        <w:rPr>
          <w:rFonts w:eastAsia="Times New Roman"/>
          <w:sz w:val="23"/>
          <w:szCs w:val="23"/>
        </w:rPr>
        <w:t>doktrīnā</w:t>
      </w:r>
      <w:r w:rsidRPr="008953C0">
        <w:rPr>
          <w:rStyle w:val="FootnoteReference"/>
          <w:rFonts w:eastAsia="Times New Roman"/>
          <w:sz w:val="23"/>
          <w:szCs w:val="23"/>
        </w:rPr>
        <w:footnoteReference w:id="5"/>
      </w:r>
      <w:r w:rsidRPr="008953C0">
        <w:rPr>
          <w:rFonts w:eastAsia="Times New Roman"/>
          <w:sz w:val="23"/>
          <w:szCs w:val="23"/>
        </w:rPr>
        <w:t xml:space="preserve"> ieteikti šādi kritēriji, kas būtu ņemami vērā, izvērtējot līgumsoda samērīgumu:</w:t>
      </w:r>
    </w:p>
    <w:p w14:paraId="5F72EAB0"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ar līguma pārkāpumu radīto seku smagums (ļaunums, kaitējums plašā nozīmē);</w:t>
      </w:r>
    </w:p>
    <w:p w14:paraId="56A2412C"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līgumsoda apmērs, vērtējot procentuāli pret pamatparādu (piemēram, tiek uzskatīts, ka izteikti sodošs raksturs ir līgumsodam un tas nav taisnīgs, ja līgumsods pārsniedz vairākkārt pamatparāda apmēru);</w:t>
      </w:r>
    </w:p>
    <w:p w14:paraId="29AB09A8"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laika periods, kurā līgumsoda apmērs ir veidojies;</w:t>
      </w:r>
    </w:p>
    <w:p w14:paraId="219E2F40"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tas, vai līgumsoda piedziņa nekaitētu parādniekam tādā mērā, ka varētu tikt skartas arī sabiedrības intereses;</w:t>
      </w:r>
    </w:p>
    <w:p w14:paraId="4C876D16"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pamatparāda apmērs;</w:t>
      </w:r>
    </w:p>
    <w:p w14:paraId="0270BFBC"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kā un cik lielā mērā saistība ir tikusi pildīta;</w:t>
      </w:r>
    </w:p>
    <w:p w14:paraId="3A784180"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vai ar konkrēto līgumsoda apmēru ir nodrošināts taisnīgs rezultāts;</w:t>
      </w:r>
    </w:p>
    <w:p w14:paraId="327599CE"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tiesību principi, kas attiecas uz soda atbilstības izvērtēšanu, ciktāl tie nav pretrunā ar civiltiesību pamatuzdevumu nodrošināt ekvivalenci mantiskajās attiecībās;</w:t>
      </w:r>
    </w:p>
    <w:p w14:paraId="649A3732" w14:textId="77777777" w:rsidR="0068483B" w:rsidRPr="008953C0" w:rsidRDefault="0068483B" w:rsidP="008953C0">
      <w:pPr>
        <w:pStyle w:val="ListParagraph"/>
        <w:widowControl/>
        <w:numPr>
          <w:ilvl w:val="0"/>
          <w:numId w:val="18"/>
        </w:numPr>
        <w:ind w:left="567" w:firstLine="0"/>
        <w:rPr>
          <w:rFonts w:eastAsia="Times New Roman"/>
          <w:sz w:val="23"/>
          <w:szCs w:val="23"/>
        </w:rPr>
      </w:pPr>
      <w:r w:rsidRPr="008953C0">
        <w:rPr>
          <w:rFonts w:eastAsia="Times New Roman"/>
          <w:sz w:val="23"/>
          <w:szCs w:val="23"/>
        </w:rPr>
        <w:t>vai samērīgs ir kreditora tiesību ierobežojums saņemt līgumsodu, jo līgumsodam ir zaudējumu atlīdzināšanas funkcija, kurus kreditoram būtu tiesības saņemt, ja tādi ir;</w:t>
      </w:r>
    </w:p>
    <w:p w14:paraId="0B445E52" w14:textId="77777777" w:rsidR="0068483B" w:rsidRPr="008953C0" w:rsidRDefault="0068483B" w:rsidP="008953C0">
      <w:pPr>
        <w:ind w:firstLine="567"/>
        <w:contextualSpacing/>
        <w:rPr>
          <w:rFonts w:eastAsia="Times New Roman"/>
          <w:sz w:val="23"/>
          <w:szCs w:val="23"/>
          <w:lang w:eastAsia="lv-LV"/>
        </w:rPr>
      </w:pPr>
      <w:r w:rsidRPr="008953C0">
        <w:rPr>
          <w:sz w:val="23"/>
          <w:szCs w:val="23"/>
        </w:rPr>
        <w:t xml:space="preserve">Tādējādi no Civillikuma izriet, ka līgumsoda apmēram ir jābūt samērīgam un atbilstošam godīgai darījuma praksei. Saeimai ir plašas pilnvaras gan paplašināt, gan sašaurināt speciālajos normatīvos aktos gan zaudējumu noteikšanas kārtību, gan arī līgumsoda regulējumu, ņemot vērā konkrētās nozares vajadzības un specifiku. Tomēr, dodot priekšroku ieviest speciālu līgumsoda regulējumu, būtu jāņem vērā, ka līdzsvarotās tiesiskās attiecībās galvenajam civiltiesiskās atbildības veidam vajadzētu būt zaudējumu atlīdzībai. Līgumsoda piemērošanā ir saredzamas nepamatotas iedzīvošanās iespējas </w:t>
      </w:r>
      <w:r w:rsidRPr="008953C0">
        <w:rPr>
          <w:rFonts w:eastAsia="Times New Roman"/>
          <w:sz w:val="23"/>
          <w:szCs w:val="23"/>
          <w:lang w:eastAsia="lv-LV"/>
        </w:rPr>
        <w:t>tikai tādēļ, ka otra puse ir kļūdījusies, vai nav izpildījusi nepieciešamo vai pat apzināti izdarījusi pārkāpumu.</w:t>
      </w:r>
      <w:r w:rsidRPr="008953C0">
        <w:rPr>
          <w:rStyle w:val="FootnoteReference"/>
          <w:rFonts w:eastAsia="Times New Roman"/>
          <w:sz w:val="23"/>
          <w:szCs w:val="23"/>
          <w:lang w:eastAsia="lv-LV"/>
        </w:rPr>
        <w:footnoteReference w:id="6"/>
      </w:r>
      <w:r w:rsidRPr="008953C0">
        <w:rPr>
          <w:rFonts w:eastAsia="Times New Roman"/>
          <w:sz w:val="23"/>
          <w:szCs w:val="23"/>
          <w:lang w:eastAsia="lv-LV"/>
        </w:rPr>
        <w:t xml:space="preserve"> Līdz ar to speciāla līgumsoda regulējuma ieviešanai konkrētā nozarē ir jābūt pamatotai un samērīgai un jāatbilst godīgai darījumu praksei. </w:t>
      </w:r>
    </w:p>
    <w:p w14:paraId="58E32B81" w14:textId="6CE8A481" w:rsidR="0068483B" w:rsidRPr="008953C0" w:rsidRDefault="00641846" w:rsidP="008953C0">
      <w:pPr>
        <w:ind w:firstLine="567"/>
        <w:contextualSpacing/>
        <w:rPr>
          <w:sz w:val="23"/>
          <w:szCs w:val="23"/>
          <w:u w:val="single"/>
        </w:rPr>
      </w:pPr>
      <w:r w:rsidRPr="008953C0">
        <w:rPr>
          <w:sz w:val="23"/>
          <w:szCs w:val="23"/>
          <w:u w:val="single"/>
        </w:rPr>
        <w:t>Ievērojot minēto, lūdzam pārskatīt</w:t>
      </w:r>
      <w:r w:rsidR="00CF498E" w:rsidRPr="008953C0">
        <w:rPr>
          <w:sz w:val="23"/>
          <w:szCs w:val="23"/>
          <w:u w:val="single"/>
        </w:rPr>
        <w:t xml:space="preserve"> un precizēt</w:t>
      </w:r>
      <w:r w:rsidRPr="008953C0">
        <w:rPr>
          <w:sz w:val="23"/>
          <w:szCs w:val="23"/>
          <w:u w:val="single"/>
        </w:rPr>
        <w:t xml:space="preserve"> Enerģētikas likuma normas, kas paredz Civillikumam neatbilstošus tiesību institūtus, izvērtēt attiecīgās Ministru kabineta noteikumu normas </w:t>
      </w:r>
      <w:r w:rsidRPr="008953C0">
        <w:rPr>
          <w:sz w:val="23"/>
          <w:szCs w:val="23"/>
          <w:u w:val="single"/>
        </w:rPr>
        <w:lastRenderedPageBreak/>
        <w:t xml:space="preserve">un to, vai tām ir likumā atbilstošs deleģējums, vai, ja tiek secināts, ka </w:t>
      </w:r>
      <w:r w:rsidR="00CF498E" w:rsidRPr="008953C0">
        <w:rPr>
          <w:sz w:val="23"/>
          <w:szCs w:val="23"/>
          <w:u w:val="single"/>
        </w:rPr>
        <w:t>nav nepieciešams</w:t>
      </w:r>
      <w:r w:rsidRPr="008953C0">
        <w:rPr>
          <w:sz w:val="23"/>
          <w:szCs w:val="23"/>
          <w:u w:val="single"/>
        </w:rPr>
        <w:t xml:space="preserve"> stiprināt no Civillikuma atšķirīgi tiesību institūt</w:t>
      </w:r>
      <w:r w:rsidR="00CF498E" w:rsidRPr="008953C0">
        <w:rPr>
          <w:sz w:val="23"/>
          <w:szCs w:val="23"/>
          <w:u w:val="single"/>
        </w:rPr>
        <w:t>us</w:t>
      </w:r>
      <w:r w:rsidRPr="008953C0">
        <w:rPr>
          <w:sz w:val="23"/>
          <w:szCs w:val="23"/>
          <w:u w:val="single"/>
        </w:rPr>
        <w:t xml:space="preserve"> Enerģētikas likumā</w:t>
      </w:r>
      <w:r w:rsidR="00CF498E" w:rsidRPr="008953C0">
        <w:rPr>
          <w:sz w:val="23"/>
          <w:szCs w:val="23"/>
          <w:u w:val="single"/>
        </w:rPr>
        <w:t xml:space="preserve">, tad izvērtēt nepieciešamību precizēt Enerģētikas likuma normas, lai šos aspektus sakārtotu. Ja plānots pilnveidot deleģējumu, lūdzam anotācijā iekļaut detalizētu </w:t>
      </w:r>
      <w:proofErr w:type="spellStart"/>
      <w:r w:rsidR="00CF498E" w:rsidRPr="008953C0">
        <w:rPr>
          <w:sz w:val="23"/>
          <w:szCs w:val="23"/>
          <w:u w:val="single"/>
        </w:rPr>
        <w:t>satversmības</w:t>
      </w:r>
      <w:proofErr w:type="spellEnd"/>
      <w:r w:rsidR="00CF498E" w:rsidRPr="008953C0">
        <w:rPr>
          <w:sz w:val="23"/>
          <w:szCs w:val="23"/>
          <w:u w:val="single"/>
        </w:rPr>
        <w:t xml:space="preserve"> </w:t>
      </w:r>
      <w:proofErr w:type="spellStart"/>
      <w:r w:rsidR="00CF498E" w:rsidRPr="008953C0">
        <w:rPr>
          <w:sz w:val="23"/>
          <w:szCs w:val="23"/>
          <w:u w:val="single"/>
        </w:rPr>
        <w:t>izvērtējumu</w:t>
      </w:r>
      <w:proofErr w:type="spellEnd"/>
      <w:r w:rsidR="00CF498E" w:rsidRPr="008953C0">
        <w:rPr>
          <w:sz w:val="23"/>
          <w:szCs w:val="23"/>
          <w:u w:val="single"/>
        </w:rPr>
        <w:t>. Vēršam uzmanību, ja, ņemot vērā šo projektu, tiks grozīti vai zaudēs spēku Ministru kabineta 2008. gada 21. oktobra noteikumi Nr. 876 "</w:t>
      </w:r>
      <w:r w:rsidR="00CF498E" w:rsidRPr="008953C0">
        <w:rPr>
          <w:rFonts w:eastAsia="Times New Roman"/>
          <w:sz w:val="23"/>
          <w:szCs w:val="23"/>
          <w:u w:val="single"/>
          <w:lang w:eastAsia="lv-LV"/>
        </w:rPr>
        <w:t xml:space="preserve"> Siltumenerģijas piegādes un lietošanas noteikumi", kas paredz iespējams Satversmei un Civillikumam neatbilstošu regulējumu.</w:t>
      </w:r>
    </w:p>
    <w:p w14:paraId="2B3B4C04" w14:textId="77777777" w:rsidR="00AF393F" w:rsidRPr="008953C0" w:rsidRDefault="00AF393F" w:rsidP="00CF498E">
      <w:pPr>
        <w:tabs>
          <w:tab w:val="left" w:pos="851"/>
        </w:tabs>
        <w:contextualSpacing/>
        <w:rPr>
          <w:iCs/>
          <w:sz w:val="23"/>
          <w:szCs w:val="23"/>
        </w:rPr>
      </w:pPr>
    </w:p>
    <w:p w14:paraId="1CDFFE83" w14:textId="77777777" w:rsidR="00AF393F" w:rsidRPr="008953C0" w:rsidRDefault="00AF393F" w:rsidP="00CF498E">
      <w:pPr>
        <w:tabs>
          <w:tab w:val="left" w:pos="851"/>
        </w:tabs>
        <w:contextualSpacing/>
        <w:rPr>
          <w:iCs/>
          <w:sz w:val="23"/>
          <w:szCs w:val="23"/>
        </w:rPr>
      </w:pPr>
      <w:r w:rsidRPr="008953C0">
        <w:rPr>
          <w:iCs/>
          <w:sz w:val="23"/>
          <w:szCs w:val="23"/>
        </w:rPr>
        <w:tab/>
        <w:t>Vienlaikus izsakām šādu priekšlikumu:</w:t>
      </w:r>
    </w:p>
    <w:p w14:paraId="58339EE3" w14:textId="439DDEEC" w:rsidR="00AF393F" w:rsidRPr="008953C0" w:rsidRDefault="00AF393F" w:rsidP="00CF498E">
      <w:pPr>
        <w:pStyle w:val="ListParagraph"/>
        <w:numPr>
          <w:ilvl w:val="0"/>
          <w:numId w:val="13"/>
        </w:numPr>
        <w:tabs>
          <w:tab w:val="left" w:pos="851"/>
        </w:tabs>
        <w:rPr>
          <w:rFonts w:eastAsia="Times New Roman"/>
          <w:sz w:val="23"/>
          <w:szCs w:val="23"/>
          <w:lang w:eastAsia="lv-LV"/>
        </w:rPr>
      </w:pPr>
      <w:r w:rsidRPr="008953C0">
        <w:rPr>
          <w:rFonts w:eastAsia="Times New Roman"/>
          <w:sz w:val="23"/>
          <w:szCs w:val="23"/>
          <w:lang w:eastAsia="lv-LV"/>
        </w:rPr>
        <w:t>Lūdzam novērst projekta 40. pantā izteiktajos Enerģētikas likuma 125.-128. pantos kļūdu - atsauci uz 120. pantu.</w:t>
      </w:r>
    </w:p>
    <w:p w14:paraId="3981BAC3" w14:textId="2682968B" w:rsidR="007A33AD" w:rsidRPr="008953C0" w:rsidRDefault="007A33AD" w:rsidP="00CF498E">
      <w:pPr>
        <w:tabs>
          <w:tab w:val="left" w:pos="851"/>
        </w:tabs>
        <w:contextualSpacing/>
        <w:rPr>
          <w:rFonts w:eastAsia="Times New Roman"/>
          <w:sz w:val="23"/>
          <w:szCs w:val="23"/>
          <w:lang w:eastAsia="lv-LV"/>
        </w:rPr>
      </w:pPr>
    </w:p>
    <w:p w14:paraId="7AD60837" w14:textId="77777777" w:rsidR="008953C0" w:rsidRPr="008953C0" w:rsidRDefault="008953C0" w:rsidP="00CF498E">
      <w:pPr>
        <w:tabs>
          <w:tab w:val="left" w:pos="851"/>
        </w:tabs>
        <w:contextualSpacing/>
        <w:rPr>
          <w:rFonts w:eastAsia="Times New Roman"/>
          <w:sz w:val="23"/>
          <w:szCs w:val="23"/>
          <w:lang w:eastAsia="lv-LV"/>
        </w:rPr>
      </w:pPr>
    </w:p>
    <w:p w14:paraId="688278D3" w14:textId="77777777" w:rsidR="007A33AD" w:rsidRPr="008953C0" w:rsidRDefault="007A33AD" w:rsidP="00CF498E">
      <w:pPr>
        <w:tabs>
          <w:tab w:val="left" w:pos="851"/>
        </w:tabs>
        <w:contextualSpacing/>
        <w:rPr>
          <w:rFonts w:eastAsia="Times New Roman"/>
          <w:sz w:val="23"/>
          <w:szCs w:val="23"/>
          <w:lang w:eastAsia="lv-LV"/>
        </w:rPr>
      </w:pPr>
    </w:p>
    <w:p w14:paraId="4F7C159D" w14:textId="40E6922C" w:rsidR="00B76CD6" w:rsidRPr="008953C0" w:rsidRDefault="00B76CD6" w:rsidP="00CF498E">
      <w:pPr>
        <w:tabs>
          <w:tab w:val="left" w:pos="851"/>
        </w:tabs>
        <w:contextualSpacing/>
        <w:rPr>
          <w:rFonts w:eastAsia="Times New Roman"/>
          <w:sz w:val="23"/>
          <w:szCs w:val="23"/>
          <w:lang w:eastAsia="lv-LV"/>
        </w:rPr>
      </w:pPr>
      <w:r w:rsidRPr="008953C0">
        <w:rPr>
          <w:rFonts w:eastAsia="Times New Roman"/>
          <w:sz w:val="23"/>
          <w:szCs w:val="23"/>
          <w:lang w:eastAsia="lv-LV"/>
        </w:rPr>
        <w:t>Pielikumā:</w:t>
      </w:r>
    </w:p>
    <w:p w14:paraId="4DA9B103" w14:textId="4269492C" w:rsidR="00B76CD6" w:rsidRPr="008953C0" w:rsidRDefault="00B76CD6" w:rsidP="00CF498E">
      <w:pPr>
        <w:pStyle w:val="ListParagraph"/>
        <w:numPr>
          <w:ilvl w:val="0"/>
          <w:numId w:val="15"/>
        </w:numPr>
        <w:tabs>
          <w:tab w:val="left" w:pos="851"/>
        </w:tabs>
        <w:rPr>
          <w:sz w:val="23"/>
          <w:szCs w:val="23"/>
        </w:rPr>
      </w:pPr>
      <w:r w:rsidRPr="008953C0">
        <w:rPr>
          <w:rFonts w:eastAsia="Times New Roman"/>
          <w:sz w:val="23"/>
          <w:szCs w:val="23"/>
          <w:lang w:eastAsia="lv-LV"/>
        </w:rPr>
        <w:t xml:space="preserve">Tieslietu ministrijas 2021. gada 18. marta viedoklis Nr. 1-22.1/1370 </w:t>
      </w:r>
      <w:r w:rsidRPr="008953C0">
        <w:rPr>
          <w:sz w:val="23"/>
          <w:szCs w:val="23"/>
        </w:rPr>
        <w:t>Latvijas Republikas Satversmes tiesai lietā Nr. 2020-59-01 uz 14 lpp.</w:t>
      </w:r>
    </w:p>
    <w:p w14:paraId="4B625E18" w14:textId="1002228C" w:rsidR="00B76CD6" w:rsidRPr="008953C0" w:rsidRDefault="00B76CD6" w:rsidP="00CF498E">
      <w:pPr>
        <w:pStyle w:val="ListParagraph"/>
        <w:numPr>
          <w:ilvl w:val="0"/>
          <w:numId w:val="15"/>
        </w:numPr>
        <w:tabs>
          <w:tab w:val="left" w:pos="851"/>
        </w:tabs>
        <w:rPr>
          <w:sz w:val="23"/>
          <w:szCs w:val="23"/>
        </w:rPr>
      </w:pPr>
      <w:r w:rsidRPr="008953C0">
        <w:rPr>
          <w:rFonts w:eastAsia="Times New Roman"/>
          <w:sz w:val="23"/>
          <w:szCs w:val="23"/>
          <w:lang w:eastAsia="lv-LV"/>
        </w:rPr>
        <w:t xml:space="preserve">Tieslietu ministrijas 2021. gada 24. februāra vēstule Nr. 1-13.3/635 Ekonomikas ministrijai </w:t>
      </w:r>
      <w:r w:rsidRPr="008953C0">
        <w:rPr>
          <w:sz w:val="23"/>
          <w:szCs w:val="23"/>
        </w:rPr>
        <w:t>uz 4 lpp.</w:t>
      </w:r>
    </w:p>
    <w:p w14:paraId="7750227F" w14:textId="77777777" w:rsidR="00AF393F" w:rsidRPr="008953C0" w:rsidRDefault="00AF393F" w:rsidP="00CF498E">
      <w:pPr>
        <w:tabs>
          <w:tab w:val="left" w:pos="1134"/>
        </w:tabs>
        <w:ind w:firstLine="567"/>
        <w:contextualSpacing/>
        <w:rPr>
          <w:sz w:val="23"/>
          <w:szCs w:val="23"/>
        </w:rPr>
      </w:pPr>
    </w:p>
    <w:p w14:paraId="58485201" w14:textId="3BFCF655" w:rsidR="00AF393F" w:rsidRPr="008953C0" w:rsidRDefault="00AF393F" w:rsidP="00CF498E">
      <w:pPr>
        <w:tabs>
          <w:tab w:val="left" w:pos="1134"/>
        </w:tabs>
        <w:ind w:firstLine="567"/>
        <w:contextualSpacing/>
        <w:rPr>
          <w:sz w:val="23"/>
          <w:szCs w:val="23"/>
        </w:rPr>
      </w:pPr>
    </w:p>
    <w:p w14:paraId="7282FF21" w14:textId="77777777" w:rsidR="008953C0" w:rsidRPr="008953C0" w:rsidRDefault="008953C0" w:rsidP="00CF498E">
      <w:pPr>
        <w:tabs>
          <w:tab w:val="left" w:pos="1134"/>
        </w:tabs>
        <w:ind w:firstLine="567"/>
        <w:contextualSpacing/>
        <w:rPr>
          <w:sz w:val="23"/>
          <w:szCs w:val="23"/>
        </w:rPr>
      </w:pPr>
    </w:p>
    <w:p w14:paraId="697ED18B" w14:textId="77777777" w:rsidR="00AF393F" w:rsidRPr="008953C0" w:rsidRDefault="00AF393F" w:rsidP="00CF498E">
      <w:pPr>
        <w:contextualSpacing/>
        <w:rPr>
          <w:sz w:val="23"/>
          <w:szCs w:val="23"/>
        </w:rPr>
      </w:pPr>
      <w:r w:rsidRPr="008953C0">
        <w:rPr>
          <w:sz w:val="23"/>
          <w:szCs w:val="23"/>
        </w:rPr>
        <w:t>Valsts sekretāra vietniece</w:t>
      </w:r>
    </w:p>
    <w:p w14:paraId="4139B1E4" w14:textId="78AF2166" w:rsidR="00AF393F" w:rsidRPr="008953C0" w:rsidRDefault="00AF393F" w:rsidP="00CF498E">
      <w:pPr>
        <w:tabs>
          <w:tab w:val="left" w:pos="5685"/>
          <w:tab w:val="right" w:pos="9356"/>
        </w:tabs>
        <w:contextualSpacing/>
        <w:rPr>
          <w:sz w:val="23"/>
          <w:szCs w:val="23"/>
        </w:rPr>
      </w:pPr>
      <w:r w:rsidRPr="008953C0">
        <w:rPr>
          <w:sz w:val="23"/>
          <w:szCs w:val="23"/>
        </w:rPr>
        <w:t>tiesību politikas jautājumos</w:t>
      </w:r>
      <w:r w:rsidRPr="008953C0">
        <w:rPr>
          <w:sz w:val="23"/>
          <w:szCs w:val="23"/>
        </w:rPr>
        <w:tab/>
      </w:r>
      <w:r w:rsidRPr="008953C0">
        <w:rPr>
          <w:sz w:val="23"/>
          <w:szCs w:val="23"/>
        </w:rPr>
        <w:tab/>
        <w:t>Laila Medina</w:t>
      </w:r>
    </w:p>
    <w:p w14:paraId="71A14CFF" w14:textId="5413D815" w:rsidR="007A33AD" w:rsidRPr="008953C0" w:rsidRDefault="007A33AD" w:rsidP="00CF498E">
      <w:pPr>
        <w:tabs>
          <w:tab w:val="left" w:pos="5685"/>
          <w:tab w:val="right" w:pos="9356"/>
        </w:tabs>
        <w:contextualSpacing/>
        <w:rPr>
          <w:sz w:val="23"/>
          <w:szCs w:val="23"/>
        </w:rPr>
      </w:pPr>
    </w:p>
    <w:p w14:paraId="18558ACD" w14:textId="24BAA6E7" w:rsidR="007A33AD" w:rsidRPr="008953C0" w:rsidRDefault="007A33AD" w:rsidP="00CF498E">
      <w:pPr>
        <w:tabs>
          <w:tab w:val="left" w:pos="5685"/>
          <w:tab w:val="right" w:pos="9356"/>
        </w:tabs>
        <w:contextualSpacing/>
        <w:rPr>
          <w:sz w:val="23"/>
          <w:szCs w:val="23"/>
        </w:rPr>
      </w:pPr>
    </w:p>
    <w:p w14:paraId="27A1A9E3" w14:textId="77777777" w:rsidR="007A33AD" w:rsidRPr="008953C0" w:rsidRDefault="007A33AD" w:rsidP="00CF498E">
      <w:pPr>
        <w:tabs>
          <w:tab w:val="left" w:pos="5685"/>
          <w:tab w:val="right" w:pos="9356"/>
        </w:tabs>
        <w:contextualSpacing/>
        <w:rPr>
          <w:sz w:val="23"/>
          <w:szCs w:val="23"/>
        </w:rPr>
      </w:pPr>
    </w:p>
    <w:p w14:paraId="4FB2827C" w14:textId="3F0D6266" w:rsidR="00AF393F" w:rsidRPr="007A33AD" w:rsidRDefault="00AF393F" w:rsidP="00CF498E">
      <w:pPr>
        <w:tabs>
          <w:tab w:val="left" w:pos="1134"/>
        </w:tabs>
        <w:contextualSpacing/>
        <w:rPr>
          <w:i/>
          <w:iCs/>
          <w:sz w:val="20"/>
          <w:szCs w:val="20"/>
        </w:rPr>
      </w:pPr>
      <w:r w:rsidRPr="007A33AD">
        <w:rPr>
          <w:i/>
          <w:iCs/>
          <w:sz w:val="20"/>
          <w:szCs w:val="20"/>
        </w:rPr>
        <w:t>Strazdina</w:t>
      </w:r>
      <w:r w:rsidR="007A33AD" w:rsidRPr="007A33AD">
        <w:rPr>
          <w:i/>
          <w:iCs/>
          <w:sz w:val="20"/>
          <w:szCs w:val="20"/>
        </w:rPr>
        <w:t>,</w:t>
      </w:r>
      <w:r w:rsidRPr="007A33AD">
        <w:rPr>
          <w:i/>
          <w:iCs/>
          <w:sz w:val="20"/>
          <w:szCs w:val="20"/>
        </w:rPr>
        <w:t xml:space="preserve"> 67036951</w:t>
      </w:r>
    </w:p>
    <w:p w14:paraId="0E44C151" w14:textId="77777777" w:rsidR="00AF393F" w:rsidRPr="007A33AD" w:rsidRDefault="00AF393F" w:rsidP="00CF498E">
      <w:pPr>
        <w:tabs>
          <w:tab w:val="left" w:pos="1134"/>
        </w:tabs>
        <w:contextualSpacing/>
        <w:rPr>
          <w:i/>
          <w:iCs/>
          <w:sz w:val="20"/>
          <w:szCs w:val="20"/>
        </w:rPr>
      </w:pPr>
      <w:r w:rsidRPr="007A33AD">
        <w:rPr>
          <w:i/>
          <w:iCs/>
          <w:sz w:val="20"/>
          <w:szCs w:val="20"/>
        </w:rPr>
        <w:t>Linda.Strazdina@tm.gov.lv</w:t>
      </w:r>
    </w:p>
    <w:p w14:paraId="7EB8F3F9" w14:textId="77777777" w:rsidR="00AF393F" w:rsidRPr="007A33AD" w:rsidRDefault="00AF393F" w:rsidP="00CF498E">
      <w:pPr>
        <w:contextualSpacing/>
        <w:rPr>
          <w:i/>
          <w:iCs/>
          <w:sz w:val="20"/>
          <w:szCs w:val="20"/>
        </w:rPr>
      </w:pPr>
    </w:p>
    <w:p w14:paraId="18749677" w14:textId="06246417" w:rsidR="00AF393F" w:rsidRPr="007A33AD" w:rsidRDefault="00AF393F" w:rsidP="00CF498E">
      <w:pPr>
        <w:contextualSpacing/>
        <w:rPr>
          <w:i/>
          <w:iCs/>
          <w:sz w:val="20"/>
          <w:szCs w:val="20"/>
        </w:rPr>
      </w:pPr>
      <w:r w:rsidRPr="007A33AD">
        <w:rPr>
          <w:i/>
          <w:iCs/>
          <w:sz w:val="20"/>
          <w:szCs w:val="20"/>
        </w:rPr>
        <w:t>Dreika</w:t>
      </w:r>
      <w:r w:rsidR="007A33AD" w:rsidRPr="007A33AD">
        <w:rPr>
          <w:i/>
          <w:iCs/>
          <w:sz w:val="20"/>
          <w:szCs w:val="20"/>
        </w:rPr>
        <w:t>, 67046107</w:t>
      </w:r>
      <w:r w:rsidRPr="007A33AD">
        <w:rPr>
          <w:i/>
          <w:iCs/>
          <w:sz w:val="20"/>
          <w:szCs w:val="20"/>
        </w:rPr>
        <w:t xml:space="preserve"> </w:t>
      </w:r>
    </w:p>
    <w:p w14:paraId="530DACB1" w14:textId="7C1625A5" w:rsidR="00CF498E" w:rsidRPr="00CF498E" w:rsidRDefault="00AF393F" w:rsidP="00CF498E">
      <w:pPr>
        <w:contextualSpacing/>
        <w:rPr>
          <w:szCs w:val="24"/>
        </w:rPr>
      </w:pPr>
      <w:r w:rsidRPr="007A33AD">
        <w:rPr>
          <w:i/>
          <w:iCs/>
          <w:sz w:val="20"/>
          <w:szCs w:val="20"/>
        </w:rPr>
        <w:t>Toms.Dreika@tm.gov.lv</w:t>
      </w:r>
    </w:p>
    <w:sectPr w:rsidR="00CF498E" w:rsidRPr="00CF498E" w:rsidSect="00A34AC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66D05" w14:textId="77777777" w:rsidR="00545E54" w:rsidRDefault="00545E54">
      <w:r>
        <w:separator/>
      </w:r>
    </w:p>
  </w:endnote>
  <w:endnote w:type="continuationSeparator" w:id="0">
    <w:p w14:paraId="270CA230" w14:textId="77777777" w:rsidR="00545E54" w:rsidRDefault="0054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63E4D" w14:textId="77777777" w:rsidR="00470D33" w:rsidRDefault="00470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C2C11" w14:textId="6C2534D4" w:rsidR="00470D33" w:rsidRPr="00470D33" w:rsidRDefault="00545E54">
    <w:pPr>
      <w:pStyle w:val="Footer"/>
      <w:rPr>
        <w:sz w:val="20"/>
        <w:szCs w:val="20"/>
      </w:rPr>
    </w:pPr>
    <w:hyperlink r:id="rId1" w:tgtFrame="=" w:history="1">
      <w:r w:rsidR="00470D33" w:rsidRPr="00470D33">
        <w:rPr>
          <w:rStyle w:val="Hyperlink"/>
          <w:color w:val="auto"/>
          <w:sz w:val="20"/>
          <w:szCs w:val="20"/>
          <w:u w:val="none"/>
          <w:shd w:val="clear" w:color="auto" w:fill="FDFCFD"/>
        </w:rPr>
        <w:t>TMAtz_290421_EM_VSS-307_papildinajums</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47D40" w14:textId="16BFE2F3" w:rsidR="00470D33" w:rsidRPr="00470D33" w:rsidRDefault="00545E54">
    <w:pPr>
      <w:pStyle w:val="Footer"/>
      <w:rPr>
        <w:sz w:val="20"/>
        <w:szCs w:val="20"/>
      </w:rPr>
    </w:pPr>
    <w:hyperlink r:id="rId1" w:tgtFrame="=" w:history="1">
      <w:r w:rsidR="00470D33" w:rsidRPr="00470D33">
        <w:rPr>
          <w:rStyle w:val="Hyperlink"/>
          <w:color w:val="auto"/>
          <w:sz w:val="20"/>
          <w:szCs w:val="20"/>
          <w:u w:val="none"/>
          <w:shd w:val="clear" w:color="auto" w:fill="FDFCFD"/>
        </w:rPr>
        <w:t>TMAtz_290421_EM_VSS-307_papildinajums</w:t>
      </w:r>
    </w:hyperlink>
  </w:p>
  <w:p w14:paraId="3D3D45C0" w14:textId="4363417F" w:rsidR="00F134BD" w:rsidRPr="00470D33" w:rsidRDefault="00F134BD" w:rsidP="00470D33">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FAE273" w14:textId="77777777" w:rsidR="00545E54" w:rsidRDefault="00545E54">
      <w:r>
        <w:separator/>
      </w:r>
    </w:p>
  </w:footnote>
  <w:footnote w:type="continuationSeparator" w:id="0">
    <w:p w14:paraId="6EE3ED2B" w14:textId="77777777" w:rsidR="00545E54" w:rsidRDefault="00545E54">
      <w:r>
        <w:continuationSeparator/>
      </w:r>
    </w:p>
  </w:footnote>
  <w:footnote w:id="1">
    <w:p w14:paraId="20C5B41A" w14:textId="77777777" w:rsidR="0068483B" w:rsidRDefault="0068483B" w:rsidP="0068483B">
      <w:pPr>
        <w:pStyle w:val="FootnoteText"/>
      </w:pPr>
      <w:r>
        <w:rPr>
          <w:rStyle w:val="FootnoteReference"/>
        </w:rPr>
        <w:footnoteRef/>
      </w:r>
      <w:r>
        <w:t xml:space="preserve"> K.Torgāns, “Saistību tiesības. Mācību grāmata”, Rīga: Tiesu namu aģentūra, 2014., 164-165.lpp.; K.Torgāns, J.Kārkliņš., A.Bitāns “Līgumu un deliktu problēmas Eiropas Savienībā un Latvijā” Prof. K.Torgāna zinātniskajā redakcijā, Rīga: Tiesu namu aģentūra, 2017., 148-149.lpp.</w:t>
      </w:r>
    </w:p>
  </w:footnote>
  <w:footnote w:id="2">
    <w:p w14:paraId="5B9B096F" w14:textId="77777777" w:rsidR="0068483B" w:rsidRDefault="0068483B" w:rsidP="0068483B">
      <w:pPr>
        <w:pStyle w:val="FootnoteText"/>
      </w:pPr>
      <w:r>
        <w:rPr>
          <w:rStyle w:val="FootnoteReference"/>
        </w:rPr>
        <w:footnoteRef/>
      </w:r>
      <w:r>
        <w:t xml:space="preserve"> K.Torgāns, “Saistību tiesības. Mācību grāmata”, Rīga: Tiesu namu aģentūra, 2014., 165.lpp.</w:t>
      </w:r>
    </w:p>
  </w:footnote>
  <w:footnote w:id="3">
    <w:p w14:paraId="65C5C5CF" w14:textId="77777777" w:rsidR="0068483B" w:rsidRDefault="0068483B" w:rsidP="0068483B">
      <w:pPr>
        <w:pStyle w:val="FootnoteText"/>
      </w:pPr>
      <w:r>
        <w:rPr>
          <w:rStyle w:val="FootnoteReference"/>
        </w:rPr>
        <w:footnoteRef/>
      </w:r>
      <w:r>
        <w:t xml:space="preserve"> Latvijas Republikas Civillikuma komentāri: Ceturtā daļa. Saistību tiesības (1401. - 2400.p.). Autoru kolektīvs prof. K.Torgāna vispārīgā zinātniskā redakcijā. Rīga: Mans Īpašums, 2000, 223.-224.lpp.</w:t>
      </w:r>
    </w:p>
  </w:footnote>
  <w:footnote w:id="4">
    <w:p w14:paraId="6F4271E9" w14:textId="77777777" w:rsidR="0068483B" w:rsidRDefault="0068483B" w:rsidP="0068483B">
      <w:pPr>
        <w:pStyle w:val="FootnoteText"/>
      </w:pPr>
      <w:r>
        <w:rPr>
          <w:rStyle w:val="FootnoteReference"/>
        </w:rPr>
        <w:footnoteRef/>
      </w:r>
      <w:r>
        <w:t xml:space="preserve"> K.Torgāns, “Saistību tiesības. Mācību grāmata”, Rīga: Tiesu namu aģentūra, 2014., 208.lpp.; Latvijas Republikas Civillikuma komentāri: Ceturtā daļa. Saistību tiesības (1401. - 2400.p.). Autoru kolektīvs prof. K.Torgāna vispārīgā zinātniskā redakcijā. Rīga: Mans Īpašums, 2000, 266.lpp.</w:t>
      </w:r>
    </w:p>
  </w:footnote>
  <w:footnote w:id="5">
    <w:p w14:paraId="6318DE12" w14:textId="77777777" w:rsidR="0068483B" w:rsidRDefault="0068483B" w:rsidP="0068483B">
      <w:pPr>
        <w:pStyle w:val="FootnoteText"/>
      </w:pPr>
      <w:r>
        <w:rPr>
          <w:rStyle w:val="FootnoteReference"/>
        </w:rPr>
        <w:footnoteRef/>
      </w:r>
      <w:r>
        <w:t xml:space="preserve"> Sk.: Kubilis J. </w:t>
      </w:r>
      <w:r>
        <w:rPr>
          <w:i/>
          <w:iCs/>
        </w:rPr>
        <w:t>Līgumsoda samērīgums un taisnīguma izvērtēšanas kritēriji.</w:t>
      </w:r>
      <w:r>
        <w:t xml:space="preserve"> Jurista Vārds, 12.01.2010., Nr.2.,</w:t>
      </w:r>
    </w:p>
  </w:footnote>
  <w:footnote w:id="6">
    <w:p w14:paraId="4C0C3E11" w14:textId="77777777" w:rsidR="0068483B" w:rsidRDefault="0068483B" w:rsidP="0068483B">
      <w:pPr>
        <w:pStyle w:val="FootnoteText"/>
      </w:pPr>
      <w:r>
        <w:rPr>
          <w:rStyle w:val="FootnoteReference"/>
        </w:rPr>
        <w:footnoteRef/>
      </w:r>
      <w:r>
        <w:t xml:space="preserve"> Latvijas Republikas Civillikuma komentāri: Ceturtā daļa. Saistību tiesības (1401. - 2400.p.). Autoru kolektīvs prof. K.Torgāna vispārīgā zinātniskā redakcijā. Rīga: Mans Īpašums, 2000, 223.-224.lpp.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80001" w14:textId="77777777" w:rsidR="00470D33" w:rsidRDefault="00470D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06.05.2021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1-9.1/495</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3814D8"/>
    <w:multiLevelType w:val="hybridMultilevel"/>
    <w:tmpl w:val="FF54C242"/>
    <w:lvl w:ilvl="0" w:tplc="D67AA906">
      <w:start w:val="1"/>
      <w:numFmt w:val="decimal"/>
      <w:lvlText w:val="%1."/>
      <w:lvlJc w:val="left"/>
      <w:pPr>
        <w:ind w:left="360"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5F76250"/>
    <w:multiLevelType w:val="hybridMultilevel"/>
    <w:tmpl w:val="BF46805C"/>
    <w:lvl w:ilvl="0" w:tplc="BEAE9216">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FB4621"/>
    <w:multiLevelType w:val="hybridMultilevel"/>
    <w:tmpl w:val="61FEB19C"/>
    <w:lvl w:ilvl="0" w:tplc="47E47FD6">
      <w:start w:val="1"/>
      <w:numFmt w:val="decimal"/>
      <w:lvlText w:val="%1."/>
      <w:lvlJc w:val="left"/>
      <w:pPr>
        <w:ind w:left="1287" w:hanging="360"/>
      </w:pPr>
      <w:rPr>
        <w:rFonts w:eastAsia="Times New Roman" w:hint="default"/>
        <w:color w:val="000000" w:themeColor="text1"/>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3F380CA3"/>
    <w:multiLevelType w:val="hybridMultilevel"/>
    <w:tmpl w:val="E0248662"/>
    <w:lvl w:ilvl="0" w:tplc="3E6624EE">
      <w:start w:val="1"/>
      <w:numFmt w:val="lowerLetter"/>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15" w15:restartNumberingAfterBreak="0">
    <w:nsid w:val="419527E0"/>
    <w:multiLevelType w:val="hybridMultilevel"/>
    <w:tmpl w:val="0E94878E"/>
    <w:lvl w:ilvl="0" w:tplc="037ABC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D897EBA"/>
    <w:multiLevelType w:val="hybridMultilevel"/>
    <w:tmpl w:val="9B6E5D84"/>
    <w:lvl w:ilvl="0" w:tplc="47E47FD6">
      <w:start w:val="1"/>
      <w:numFmt w:val="decimal"/>
      <w:lvlText w:val="%1."/>
      <w:lvlJc w:val="left"/>
      <w:pPr>
        <w:ind w:left="720" w:hanging="360"/>
      </w:pPr>
      <w:rPr>
        <w:rFonts w:eastAsia="Times New Roman"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181767"/>
    <w:multiLevelType w:val="hybridMultilevel"/>
    <w:tmpl w:val="2D1C05EC"/>
    <w:lvl w:ilvl="0" w:tplc="0608AAC0">
      <w:start w:val="1"/>
      <w:numFmt w:val="decimal"/>
      <w:lvlText w:val="%1."/>
      <w:lvlJc w:val="left"/>
      <w:pPr>
        <w:ind w:left="1069" w:hanging="360"/>
      </w:pPr>
      <w:rPr>
        <w:i w:val="0"/>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7B456140"/>
    <w:multiLevelType w:val="hybridMultilevel"/>
    <w:tmpl w:val="5C963A5A"/>
    <w:lvl w:ilvl="0" w:tplc="47E47FD6">
      <w:start w:val="1"/>
      <w:numFmt w:val="decimal"/>
      <w:lvlText w:val="%1."/>
      <w:lvlJc w:val="left"/>
      <w:pPr>
        <w:ind w:left="1287" w:hanging="360"/>
      </w:pPr>
      <w:rPr>
        <w:rFonts w:eastAsia="Times New Roman" w:hint="default"/>
        <w:color w:val="000000" w:themeColor="text1"/>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5"/>
  </w:num>
  <w:num w:numId="15">
    <w:abstractNumId w:val="16"/>
  </w:num>
  <w:num w:numId="16">
    <w:abstractNumId w:val="18"/>
  </w:num>
  <w:num w:numId="17">
    <w:abstractNumId w:val="1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52E14"/>
    <w:rsid w:val="00091ABD"/>
    <w:rsid w:val="000D6929"/>
    <w:rsid w:val="000E7F03"/>
    <w:rsid w:val="00124173"/>
    <w:rsid w:val="00160216"/>
    <w:rsid w:val="002242FF"/>
    <w:rsid w:val="00275B9E"/>
    <w:rsid w:val="002B3077"/>
    <w:rsid w:val="002E1474"/>
    <w:rsid w:val="00335032"/>
    <w:rsid w:val="00441F52"/>
    <w:rsid w:val="00450142"/>
    <w:rsid w:val="00470D33"/>
    <w:rsid w:val="00483D66"/>
    <w:rsid w:val="00493308"/>
    <w:rsid w:val="00502498"/>
    <w:rsid w:val="00535564"/>
    <w:rsid w:val="00545E54"/>
    <w:rsid w:val="005E672B"/>
    <w:rsid w:val="00626E90"/>
    <w:rsid w:val="00641846"/>
    <w:rsid w:val="00663C3A"/>
    <w:rsid w:val="0068483B"/>
    <w:rsid w:val="006C1639"/>
    <w:rsid w:val="006C6018"/>
    <w:rsid w:val="006F7561"/>
    <w:rsid w:val="00724680"/>
    <w:rsid w:val="00726E06"/>
    <w:rsid w:val="00747CCB"/>
    <w:rsid w:val="007704BD"/>
    <w:rsid w:val="007A33AD"/>
    <w:rsid w:val="007B3740"/>
    <w:rsid w:val="007B3BA5"/>
    <w:rsid w:val="007B48EC"/>
    <w:rsid w:val="007B616E"/>
    <w:rsid w:val="007C6BE1"/>
    <w:rsid w:val="007E0D0E"/>
    <w:rsid w:val="007E4D1F"/>
    <w:rsid w:val="007F1C36"/>
    <w:rsid w:val="007F3AA1"/>
    <w:rsid w:val="00815277"/>
    <w:rsid w:val="00816499"/>
    <w:rsid w:val="00830970"/>
    <w:rsid w:val="0087450D"/>
    <w:rsid w:val="00876C21"/>
    <w:rsid w:val="00883533"/>
    <w:rsid w:val="00887350"/>
    <w:rsid w:val="008953C0"/>
    <w:rsid w:val="008A679D"/>
    <w:rsid w:val="008E3CED"/>
    <w:rsid w:val="00954D5A"/>
    <w:rsid w:val="0096342D"/>
    <w:rsid w:val="009908E6"/>
    <w:rsid w:val="009D6B6A"/>
    <w:rsid w:val="00A13C55"/>
    <w:rsid w:val="00A34ACB"/>
    <w:rsid w:val="00A84FC7"/>
    <w:rsid w:val="00AB4E8A"/>
    <w:rsid w:val="00AC270F"/>
    <w:rsid w:val="00AF10A5"/>
    <w:rsid w:val="00AF393F"/>
    <w:rsid w:val="00B76CD6"/>
    <w:rsid w:val="00B86798"/>
    <w:rsid w:val="00BA5EE5"/>
    <w:rsid w:val="00BB087F"/>
    <w:rsid w:val="00C04896"/>
    <w:rsid w:val="00C255D9"/>
    <w:rsid w:val="00C47F57"/>
    <w:rsid w:val="00C836FF"/>
    <w:rsid w:val="00CF0967"/>
    <w:rsid w:val="00CF498E"/>
    <w:rsid w:val="00D21FA6"/>
    <w:rsid w:val="00D55B4B"/>
    <w:rsid w:val="00E11DA3"/>
    <w:rsid w:val="00E365CE"/>
    <w:rsid w:val="00E40434"/>
    <w:rsid w:val="00E44743"/>
    <w:rsid w:val="00E74043"/>
    <w:rsid w:val="00E741BB"/>
    <w:rsid w:val="00EC3533"/>
    <w:rsid w:val="00F029F1"/>
    <w:rsid w:val="00F134BD"/>
    <w:rsid w:val="00F46913"/>
    <w:rsid w:val="00F60586"/>
    <w:rsid w:val="00F957BA"/>
    <w:rsid w:val="00FA1C63"/>
    <w:rsid w:val="00FC687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AF393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F393F"/>
    <w:rPr>
      <w:rFonts w:asciiTheme="majorHAnsi" w:eastAsiaTheme="majorEastAsia" w:hAnsiTheme="majorHAnsi" w:cstheme="majorBidi"/>
      <w:color w:val="365F91" w:themeColor="accent1" w:themeShade="BF"/>
      <w:sz w:val="32"/>
      <w:szCs w:val="32"/>
      <w:lang w:eastAsia="en-US"/>
    </w:rPr>
  </w:style>
  <w:style w:type="paragraph" w:styleId="FootnoteText">
    <w:name w:val="footnote text"/>
    <w:basedOn w:val="Normal"/>
    <w:link w:val="FootnoteTextChar"/>
    <w:uiPriority w:val="99"/>
    <w:semiHidden/>
    <w:unhideWhenUsed/>
    <w:rsid w:val="00AF393F"/>
    <w:rPr>
      <w:sz w:val="20"/>
      <w:szCs w:val="20"/>
    </w:rPr>
  </w:style>
  <w:style w:type="character" w:customStyle="1" w:styleId="FootnoteTextChar">
    <w:name w:val="Footnote Text Char"/>
    <w:basedOn w:val="DefaultParagraphFont"/>
    <w:link w:val="FootnoteText"/>
    <w:uiPriority w:val="99"/>
    <w:semiHidden/>
    <w:rsid w:val="00AF393F"/>
    <w:rPr>
      <w:rFonts w:ascii="Times New Roman" w:hAnsi="Times New Roman"/>
      <w:lang w:eastAsia="en-US"/>
    </w:rPr>
  </w:style>
  <w:style w:type="character" w:styleId="FootnoteReference">
    <w:name w:val="footnote reference"/>
    <w:basedOn w:val="DefaultParagraphFont"/>
    <w:uiPriority w:val="99"/>
    <w:semiHidden/>
    <w:unhideWhenUsed/>
    <w:rsid w:val="00AF393F"/>
    <w:rPr>
      <w:vertAlign w:val="superscript"/>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AF393F"/>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AF393F"/>
    <w:rPr>
      <w:rFonts w:ascii="Times New Roman" w:hAnsi="Times New Roman"/>
      <w:sz w:val="24"/>
      <w:szCs w:val="22"/>
      <w:lang w:eastAsia="en-US"/>
    </w:rPr>
  </w:style>
  <w:style w:type="character" w:customStyle="1" w:styleId="normaltextrun">
    <w:name w:val="normaltextrun"/>
    <w:basedOn w:val="DefaultParagraphFont"/>
    <w:rsid w:val="00AF393F"/>
  </w:style>
  <w:style w:type="character" w:customStyle="1" w:styleId="15">
    <w:name w:val="15"/>
    <w:basedOn w:val="DefaultParagraphFont"/>
    <w:rsid w:val="00AF393F"/>
    <w:rPr>
      <w:rFonts w:ascii="Calibri" w:hAnsi="Calibri" w:cs="Calibri" w:hint="default"/>
    </w:rPr>
  </w:style>
  <w:style w:type="character" w:customStyle="1" w:styleId="16">
    <w:name w:val="16"/>
    <w:basedOn w:val="DefaultParagraphFont"/>
    <w:rsid w:val="00AF393F"/>
    <w:rPr>
      <w:rFonts w:ascii="Calibri" w:hAnsi="Calibri" w:cs="Calibri" w:hint="default"/>
    </w:rPr>
  </w:style>
  <w:style w:type="paragraph" w:customStyle="1" w:styleId="StyleRight">
    <w:name w:val="Style Right"/>
    <w:basedOn w:val="Normal"/>
    <w:rsid w:val="00AF393F"/>
    <w:pPr>
      <w:widowControl/>
      <w:spacing w:after="120"/>
      <w:ind w:firstLine="720"/>
      <w:jc w:val="right"/>
    </w:pPr>
    <w:rPr>
      <w:rFonts w:eastAsia="Times New Roman"/>
      <w:sz w:val="28"/>
      <w:szCs w:val="28"/>
    </w:rPr>
  </w:style>
  <w:style w:type="paragraph" w:customStyle="1" w:styleId="tv213">
    <w:name w:val="tv213"/>
    <w:basedOn w:val="Normal"/>
    <w:rsid w:val="00B86798"/>
    <w:pPr>
      <w:widowControl/>
      <w:spacing w:before="100" w:beforeAutospacing="1" w:after="100" w:afterAutospacing="1"/>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53909">
      <w:bodyDiv w:val="1"/>
      <w:marLeft w:val="0"/>
      <w:marRight w:val="0"/>
      <w:marTop w:val="0"/>
      <w:marBottom w:val="0"/>
      <w:divBdr>
        <w:top w:val="none" w:sz="0" w:space="0" w:color="auto"/>
        <w:left w:val="none" w:sz="0" w:space="0" w:color="auto"/>
        <w:bottom w:val="none" w:sz="0" w:space="0" w:color="auto"/>
        <w:right w:val="none" w:sz="0" w:space="0" w:color="auto"/>
      </w:divBdr>
    </w:div>
    <w:div w:id="1054502825">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21415363">
      <w:bodyDiv w:val="1"/>
      <w:marLeft w:val="0"/>
      <w:marRight w:val="0"/>
      <w:marTop w:val="0"/>
      <w:marBottom w:val="0"/>
      <w:divBdr>
        <w:top w:val="none" w:sz="0" w:space="0" w:color="auto"/>
        <w:left w:val="none" w:sz="0" w:space="0" w:color="auto"/>
        <w:bottom w:val="none" w:sz="0" w:space="0" w:color="auto"/>
        <w:right w:val="none" w:sz="0" w:space="0" w:color="auto"/>
      </w:divBdr>
    </w:div>
    <w:div w:id="1448810929">
      <w:bodyDiv w:val="1"/>
      <w:marLeft w:val="0"/>
      <w:marRight w:val="0"/>
      <w:marTop w:val="0"/>
      <w:marBottom w:val="0"/>
      <w:divBdr>
        <w:top w:val="none" w:sz="0" w:space="0" w:color="auto"/>
        <w:left w:val="none" w:sz="0" w:space="0" w:color="auto"/>
        <w:bottom w:val="none" w:sz="0" w:space="0" w:color="auto"/>
        <w:right w:val="none" w:sz="0" w:space="0" w:color="auto"/>
      </w:divBdr>
      <w:divsChild>
        <w:div w:id="2064863145">
          <w:marLeft w:val="0"/>
          <w:marRight w:val="0"/>
          <w:marTop w:val="480"/>
          <w:marBottom w:val="240"/>
          <w:divBdr>
            <w:top w:val="none" w:sz="0" w:space="0" w:color="auto"/>
            <w:left w:val="none" w:sz="0" w:space="0" w:color="auto"/>
            <w:bottom w:val="none" w:sz="0" w:space="0" w:color="auto"/>
            <w:right w:val="none" w:sz="0" w:space="0" w:color="auto"/>
          </w:divBdr>
        </w:div>
        <w:div w:id="817385256">
          <w:marLeft w:val="0"/>
          <w:marRight w:val="0"/>
          <w:marTop w:val="0"/>
          <w:marBottom w:val="567"/>
          <w:divBdr>
            <w:top w:val="none" w:sz="0" w:space="0" w:color="auto"/>
            <w:left w:val="none" w:sz="0" w:space="0" w:color="auto"/>
            <w:bottom w:val="none" w:sz="0" w:space="0" w:color="auto"/>
            <w:right w:val="none" w:sz="0" w:space="0" w:color="auto"/>
          </w:divBdr>
        </w:div>
      </w:divsChild>
    </w:div>
    <w:div w:id="1656107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10.94.78.3/DocLogix/Attachments/Current/TM%20dokumenti%20(11654)/TAP-NOS-%20(3099344)/TAP-NOS--505/Checked-Out/TMAtz_290421_EM_VSS-307_papildinajums.docx"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10.94.78.3/DocLogix/Attachments/Current/TM%20dokumenti%20(11654)/TAP-NOS-%20(3099344)/TAP-NOS--505/Checked-Out/TMAtz_290421_EM_VSS-307_papildinajums.docx"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344AD-BB49-4594-B607-623ADFC88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23741</Words>
  <Characters>13533</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37200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Inese Karpoviča</cp:lastModifiedBy>
  <cp:revision>2</cp:revision>
  <cp:lastPrinted>2015-01-09T08:13:00Z</cp:lastPrinted>
  <dcterms:created xsi:type="dcterms:W3CDTF">2021-12-03T11:26:00Z</dcterms:created>
  <dcterms:modified xsi:type="dcterms:W3CDTF">2021-12-03T11:26:00Z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