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30.10.2025. 17:09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vienīgais iemesls tam, ka SBSP pakalpojums tiek sniegts mazāk kā 24 mēnešus, tiek minēts, ka iekavējas infrastruktūras fāze. Bet faktiski no pieredzes SAM 4.3.5.1 2.kārtas īstenošanā esošajiem projektiem, kuros jau ir uzsākta SBSP pakalpojuma sniegšana, redzams, ka tam var būt arī citi iemesli, piemēram, iekavējas projekta mērķa grupas nokomplektēšana, personu individuālo vajadzību novērtējumu un SBSP pakalpojuma sniegšanas uzsākšana, kā arī projekta gaitā dažādu objektīvu iemeslu dēļ personai vairs nav nepieciešams sniegt SBSP pakalpojumu, kā rezultātā tā jāaizstāj ar citu mērķa grupas personu. Lūgums izvērtēts papildināt anotāciju arī ar citiem iespējamiem gadījumu piemēriem, kad SBSP sniegšana var būt īsāka par 24 mēnešiem un proporcionāli ir samazināmas izmaksas SBSP sniegšanai uz vienu mērķa grupas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4.3.5.1. pirmās un piektās kārtas projektos vēl nav uzsākta sabiedrībā balstītu sociālo pakalpojumu sniegšana, lūdzam izvērtēt MK noteikumos aprūpes pakalpojumu mājās (grupu māja (dzīvoklis)) sniegšanas izmaksas papildināt ar stundas likmi pēc līdzības ar SAM 4.3.5.1. 2.kārtā paredzēto. Atbilstoši faktiskai situācijai, piemēram, Jēkabpils novada pašvaldības SAM 4.3.5.1. 2.kārtas īstenotajā projektā netiek sniegts individuālais pakalpojums 160 stundas mēnesī dažādu attaisnojošu iemeslu dēļ (prombūtnes, slimības u.c.). Tādejādi, ja SAM 4.3.5.1. pirmās un piektās kārtas projektos neparedz vienas vienības izmaksu stundas likmi, ir risks neizlietot projektā plānoto finansējumu sabiedrībā balstītu sociālo pakalpojumu sniegšanai, jo kādā no mēnešiem nebūs sniegts individuālais pakalpojums 160 stundas un attiecīgi par šo mēnesi nevarēs attiecināt vienas vienības izmaksu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aprūpes pakalpojumu mājās (grupu māja (dzīvoklis)) sniegšanas izmaksas – 10,66 </w:t>
            </w:r>
            <w:r w:rsidR="00000000" w:rsidRPr="00000000" w:rsidDel="00000000">
              <w:rPr>
                <w:i w:val="1"/>
                <w:rtl w:val="0"/>
              </w:rPr>
              <w:t xml:space="preserve">euro</w:t>
            </w:r>
            <w:r w:rsidR="00000000" w:rsidRPr="00000000" w:rsidDel="00000000">
              <w:rPr>
                <w:rtl w:val="0"/>
              </w:rPr>
              <w:t xml:space="preserve"> stundā vai 1705 </w:t>
            </w:r>
            <w:r w:rsidR="00000000" w:rsidRPr="00000000" w:rsidDel="00000000">
              <w:rPr>
                <w:i w:val="1"/>
                <w:rtl w:val="0"/>
              </w:rPr>
              <w:t xml:space="preserve">euro</w:t>
            </w:r>
            <w:r w:rsidR="00000000" w:rsidRPr="00000000" w:rsidDel="00000000">
              <w:rPr>
                <w:rtl w:val="0"/>
              </w:rPr>
              <w:t xml:space="preserve"> mēnesī par personai individuāli sniegtu atbalstu un nepārsniedzot 40 918 </w:t>
            </w:r>
            <w:r w:rsidR="00000000" w:rsidRPr="00000000" w:rsidDel="00000000">
              <w:rPr>
                <w:i w:val="1"/>
                <w:rtl w:val="0"/>
              </w:rPr>
              <w:t xml:space="preserve">euro</w:t>
            </w:r>
            <w:r w:rsidR="00000000" w:rsidRPr="00000000" w:rsidDel="00000000">
              <w:rPr>
                <w:rtl w:val="0"/>
              </w:rPr>
              <w:t xml:space="preserve"> 24 mēnešu periodā vienai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grupas personai.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08.10.2025. 15:39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pašvaldības vai to izveidoti sociālo pakalpojumu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72. panta pirmā daļa noteic, ka pašvaldības ekonomiskais pamats ir pašvaldības manta, tostarp kustamais un nekustamais īpašums, un finanšu līdzekļi. Vienlaikus Pašvaldību likuma 10. panta otrās daļas 1. punkts noteic, ja likums tieši nenoteic, ka attiecīgā lēmuma pieņemšana ir domes kompetencē, dome, paredzot to pašvaldības nolikumā, var pilnvarot pašvaldības administrāciju lemt par pašvaldības nekustamā īpašuma izmantošanu. Tādejādi tas, ka pašvaldības manta atrodas pašvaldības iestādes lietošanā, vienlaikus nenozīmē tiesības patstāvīgi rīkoties ar pašvaldības īpašumu kā īpašniekam. Ņemot vērā minēto, lūdzam pārskatīt šo tiesību normu un attiecīgi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Nr.173 16.2.1. apakšpunkta redakcija ar šiem grozījumiem netiek precizēta un tā joprojām paredz, ka tiesības iesniegt projekta iesniegumu Kohēzijas politikas fondu vadības informācijas sistēma (KPVIS) gan 4.3.5.1. pasākuma 1. kārtas otrajā uzsaukumā (atlase ir noslēgusies), gan plānotajā trešajā uzsaukumā ir pašvaldībām vai to izveidotiem sociālo pakalpojumu sniedzējiem (piemēram, pašvaldības sociālajam dienestam). Viena no pašvaldību autonomajām funkcijām ir sociālās palīdzības un sociālo pakalpojumu nodrošināšana iedzīvotājiem un šīs funkcijas nodrošināšanai pašvaldības parasti veido savas struktūrvienības sociālo pakalpojumu sniegšanas nodrošināšanai vai piesaista citus sociālo pakalpojumu sniedzējus (tai skaitā citu pašvaldību izveidotos vai privātos sociālo pakalpojumu sniedzējus). Lai mazinātu administratīvo slogu gadījumos, kad pašvaldībā ir izveidots savs sociālo pakalpojumu sniedzējs, MK noteikumu Nr.173 16.2.1. apakšpunkts pieļauj iespēju projekta iesniegumu KPVIS iesniegt arī pašvaldības izveidotam sociālo pakalpojumu sniedzējam, kas nodrošina pašvaldības autonomo funkciju attiecībā uz sociālo pakalpojumu nodrošināšanu iedzīvotājiem. 4.3.5.1. pasākuma 1. kārtas pirmā un otrā uzsaukuma atlases nolikumā ir paredzēts, ka projekta iesniegumam ir jāpievieno finansējuma pieejamību apliecinoši dokumenti, piemēram, pašvaldības lēmums par  projekta īstenošanu un pašvaldības budžeta līdzfinansējuma nodrošināšanu. Līdz ar to arī gadījumos, ja projekta iesniedzējs ir pašvaldības izveidots sociālo pakalpojumu sniedzējs, projekta iesniegumam ir jāpievieno attiecīgās pašvaldības domes lēmums par dalību 4.3.5.1. pasākuma 1. kārtas projektu iesniegumu atlasē, tai skaitā par pašvaldības līdzfinansējuma projekta īstenošanai nodrošināšanu un pilnvarojumu projekta iesniegumu pašvaldības vārdā KPVIS iesniegt un īstenot pašvaldības izveidotajam sociālo pakalpojumu sniedzējam. Minētā prasība par pašvaldības domes lēmuma pievienošanu projektu iesniegumam tiks iestrādāta arī plānotā 4.3.5.1. pasākuma 1. kārtas trešā uzsaukuma atlases nolikumā. Tā ir pašvaldības izvēle, vai projekta iesnieguma iesniegšanu un īstenošanu tā nodrošinās pati vai tās izveidots sociālo pakalpojumu sniedzējs. Šāda prakse tika  īstenota arī 2014. – 2020. gada ES fondu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un to, ka 4.3.5.1. pasākuma 1. kārtas ietvaros jau ir noslēdzies pirmais un otrais projektu iesniegumu uzsaukums (noslēgti visi līgumi vai vienošanās par projektu īstenošanu, tai skaitā arī ar pašvaldību izveidotiem sociālo pakalpojumu sniedzējiem), LM ieskatā nebūtu korekti precizēt MK noteikumu Nr.173 16.2.1. apakšpunktā noteikto projektu iesniedzēju loku 4.3.5.1. pasākuma 1. kārtas trešā uzsaukuma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arī Viedās administrācijas un reģionālās attīstības ministrijas ES fondu 2.1.3.1. pasākuma "Pašvaldību pielāgošanās klimata pārmaiņām" pirmās projektu iesniegumu atlases kārtaā un 2.1.1.6. pasākuma "Pašvaldību ēku energoefektivitātes paaugstināšana" otrās projektu iesniegumu atlases kārtā projekta iesniedzēji var būt pašvaldība, tās izveidota iestāde vai pašvaldības kapitālsabiedrība, kas pilda pašvaldības deleģētos pārvaldes uzdevumus vai kurai ar pašvaldību ir noslēgts pakalpojuma līgums. Šī pēc būtības ir identiska situācija MK noteikumu Nr.173 16.2.1. apakšpunktā noteiktajam, ka projektu iesniedzējs 4.3.5.1. pasākuma 1. kārtā var būt pašvaldība vai tās izveidots sociālo pakalpojumu sniedzējs (iestāde, kas pilda pašvaldības autonomo funkciju sociālo pakalpojumu nodrošināšanai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Nr. 173 16.2.1. apakšpunktā minēto punktu nav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papildināto TA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pašvaldības vai to izveidoti sociālo pakalpojumu sniedzēji;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“Pašreizējā situācija, problēmas un risinājumi”  punktā “Problēmas apraksts”  5.lpp. trešajā rindkopā norādīto MK noteikumu Nr.751, to precizējot uz MK noteikumiem Nr.173.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nav noteikti izmaksu ierobežojumi projekta vadības personāla izmaksām, lūdzam papildināt anotāciju: Plānojot personāla atlīdzības izmaksas, jāņem vērā Finanšu ministrijas vadlīnijas Nr. 1.2 “Vadlīnijas attiecināmo izmaksu noteikšanai Eiropas Savienības kohēzijas politikas programmas 2021. - 2027. gada plānošanas periodā” (turpmāk – Vadlīnijas). Vadlīniju 6.10. apakšpunkts nosaka, ka personāla izmaksām ir jābūt pamatotām, noteiktām atbilstoši ekonomiskuma un efektivitātes principam, to apmēram jābūt atbilstošam projekta iesniedzēja/īstenotāja iestādē esošajā atlīdzības sistēmā noteiktajam par līdzvērtīga darba veikšanu vai atbilstošām vidējai darba samaksai pēc Latvijas Republikas Centrālās statistikas pārvaldes datiem par līdzvērtīgu darbu attiecīgajā nozarē projektu iesniegumu iesniegšanas beigu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personāla atlīdzības izmaksas, jāņem vērā Finanšu ministrijas vadlīnijas Nr. 1.2 “Vadlīnijas attiecināmo izmaksu noteikšanai Eiropas Savienības kohēzijas politikas programmas 2021. - 2027. gada plānošanas periodā” (turpmāk – Vadlīnijas). Vadlīniju 6.10. apakšpunkts nosaka, ka personāla izmaksām ir jābūt pamatotām, noteiktām atbilstoši ekonomiskuma un efektivitātes principam, to apmēram jābūt atbilstošam projekta iesniedzēja/īstenotāja iestādē esošajā atlīdzības sistēmā noteiktajam par līdzvērtīga darba veikšanu vai atbilstošām vidējai darba samaksai pēc Latvijas Republikas Centrālās statistikas pārvaldes datiem par līdzvērtīgu darbu attiecīgajā nozarē projektu iesniegumu iesniegšanas beigu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4.3.5.1. pasākuma 1. un 5. kārtas finansējuma dalījumu pa intervenčes kategorijām (Intervences laukums, Finansējuma veids, Teritoriālie sasniegšanas mehānismi, ESF+ sekundārās tēmas un Dzimumu līdztiesība), norādot intervences kodus un tam piemērojamo fondu finansējuma apjomu, lai nodrošinātu atbilstību Eiropas Savienības kohēzijas politikas programmas 2021.–2027. gadam un tās papildinājumā plānotajam.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tai skaitā savā tīmekļvietnē un sociālajos tīklos ievieto aktuālo informāciju par projekta īstenošanu un aktualizē to, tiklīdz pieejama jaunāka informācija, bet ne retāk kā reizi sešos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svītrot no MK noteikumu 46.5. apakšpunkta atsauci uz Eiropas Savienības fondu 2021.–2027. gada plānošanas perioda un Atveseļošanas fonda komunikācijas un dizaina vadlīnijām (turpmāk - Vadlīnijas), lūdzam papildināt anotāciju ar skaidrojumu, ka, neskatoties uz minētās atsauces svītrošanu, Vadlīnijas ir saistošas finansējuma saņēmējiem un tajās ietvertās prasības ir jāievēro saskaņā ar līguma/ vienošanās par projekta īstenošanu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par kārtību, kādā Eiropas Savienības fondu vadībā iesaistītās institūcijas nodrošina šo fondu ieviešanu 2021.–2027. gada plānošanas periodā, tai skaitā savā tīmekļvietnē un sociālajos tīklos ievieto aktuālo informāciju par projekta īstenošanu un aktualizē to, tiklīdz pieejama jaunāka informācija, bet ne retāk kā reizi sešos mēnešos;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25-TA-2426</w:t>
    </w:r>
    <w:r>
      <w:br/>
    </w:r>
    <w:r w:rsidR="00000000" w:rsidRPr="00000000" w:rsidDel="00000000">
      <w:rPr>
        <w:rtl w:val="0"/>
      </w:rPr>
      <w:t xml:space="preserve">11.11.2025. 08.55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25-TA-2426</w:t>
    </w:r>
    <w:r>
      <w:br/>
    </w:r>
    <w:r w:rsidR="00000000" w:rsidRPr="00000000" w:rsidDel="00000000">
      <w:rPr>
        <w:rtl w:val="0"/>
      </w:rPr>
      <w:t xml:space="preserve">11.11.2025. 08.55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Izziņa_25-TA-2426.docx</dc:title>
</cp:coreProperties>
</file>

<file path=docProps/custom.xml><?xml version="1.0" encoding="utf-8"?>
<Properties xmlns="http://schemas.openxmlformats.org/officeDocument/2006/custom-properties" xmlns:vt="http://schemas.openxmlformats.org/officeDocument/2006/docPropsVTypes"/>
</file>