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9E6141" w14:textId="77777777" w:rsidR="00397EED" w:rsidRDefault="001660C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397EED" w14:paraId="6E2E590A" w14:textId="77777777">
        <w:tc>
          <w:tcPr>
            <w:tcW w:w="750" w:type="dxa"/>
            <w:shd w:val="clear" w:color="auto" w:fill="FFFFFF"/>
            <w:noWrap/>
            <w:tcMar>
              <w:top w:w="75" w:type="dxa"/>
              <w:left w:w="75" w:type="dxa"/>
              <w:bottom w:w="75" w:type="dxa"/>
              <w:right w:w="75" w:type="dxa"/>
            </w:tcMar>
            <w:vAlign w:val="center"/>
          </w:tcPr>
          <w:p w14:paraId="0805F593" w14:textId="77777777" w:rsidR="00397EED" w:rsidRDefault="001660C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67AABEA6" w14:textId="77777777" w:rsidR="00397EED" w:rsidRDefault="001660C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1C60D3A1" w14:textId="77777777" w:rsidR="00397EED" w:rsidRDefault="001660C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49A37B7D" w14:textId="77777777" w:rsidR="00397EED" w:rsidRDefault="001660C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FC54680" w14:textId="77777777" w:rsidR="00397EED" w:rsidRDefault="001660C0">
            <w:pPr>
              <w:jc w:val="center"/>
            </w:pPr>
            <w:r>
              <w:rPr>
                <w:b/>
              </w:rPr>
              <w:t>Pamatojums, ja iebildums / priekšlikums nav ņemts vērā</w:t>
            </w:r>
          </w:p>
        </w:tc>
      </w:tr>
      <w:tr w:rsidR="007379D9" w14:paraId="09C218D8" w14:textId="77777777">
        <w:tc>
          <w:tcPr>
            <w:tcW w:w="750" w:type="dxa"/>
            <w:shd w:val="clear" w:color="auto" w:fill="FFFFFF"/>
            <w:noWrap/>
            <w:tcMar>
              <w:top w:w="75" w:type="dxa"/>
              <w:left w:w="75" w:type="dxa"/>
              <w:bottom w:w="75" w:type="dxa"/>
              <w:right w:w="75" w:type="dxa"/>
            </w:tcMar>
            <w:vAlign w:val="center"/>
          </w:tcPr>
          <w:p w14:paraId="330B7928" w14:textId="2523FA6B" w:rsidR="007379D9" w:rsidRPr="007379D9" w:rsidRDefault="007379D9" w:rsidP="007379D9">
            <w:pPr>
              <w:pStyle w:val="ListParagraph"/>
              <w:numPr>
                <w:ilvl w:val="0"/>
                <w:numId w:val="1"/>
              </w:numPr>
              <w:jc w:val="center"/>
              <w:rPr>
                <w:b/>
              </w:rPr>
            </w:pPr>
          </w:p>
        </w:tc>
        <w:tc>
          <w:tcPr>
            <w:tcW w:w="4155" w:type="dxa"/>
            <w:shd w:val="clear" w:color="auto" w:fill="FFFFFF"/>
            <w:noWrap/>
            <w:tcMar>
              <w:top w:w="75" w:type="dxa"/>
              <w:left w:w="75" w:type="dxa"/>
              <w:bottom w:w="75" w:type="dxa"/>
              <w:right w:w="75" w:type="dxa"/>
            </w:tcMar>
            <w:vAlign w:val="center"/>
          </w:tcPr>
          <w:p w14:paraId="5A33B997" w14:textId="3E779DEE" w:rsidR="007379D9" w:rsidRDefault="007379D9" w:rsidP="007379D9">
            <w:pPr>
              <w:jc w:val="left"/>
              <w:rPr>
                <w:b/>
              </w:rPr>
            </w:pPr>
            <w:r>
              <w:rPr>
                <w:b/>
              </w:rPr>
              <w:t>Rīgas Stradiņa universitāte</w:t>
            </w:r>
          </w:p>
        </w:tc>
        <w:tc>
          <w:tcPr>
            <w:tcW w:w="4156" w:type="dxa"/>
            <w:shd w:val="clear" w:color="auto" w:fill="FFFFFF"/>
            <w:noWrap/>
            <w:tcMar>
              <w:top w:w="75" w:type="dxa"/>
              <w:left w:w="75" w:type="dxa"/>
              <w:bottom w:w="75" w:type="dxa"/>
              <w:right w:w="75" w:type="dxa"/>
            </w:tcMar>
            <w:vAlign w:val="center"/>
          </w:tcPr>
          <w:p w14:paraId="0D63A954" w14:textId="2277E92A" w:rsidR="007379D9" w:rsidRPr="007379D9" w:rsidRDefault="007379D9" w:rsidP="007379D9">
            <w:pPr>
              <w:spacing w:after="160" w:line="259" w:lineRule="auto"/>
              <w:rPr>
                <w:sz w:val="24"/>
              </w:rPr>
            </w:pPr>
            <w:r w:rsidRPr="007379D9">
              <w:rPr>
                <w:sz w:val="24"/>
              </w:rPr>
              <w:t xml:space="preserve">Noteikumu projekta esošajā redakcijā noteikts, ka publiskās vietas, kurās uzstādāmi </w:t>
            </w:r>
            <w:proofErr w:type="spellStart"/>
            <w:r w:rsidRPr="007379D9">
              <w:rPr>
                <w:sz w:val="24"/>
              </w:rPr>
              <w:t>defibrilatori</w:t>
            </w:r>
            <w:proofErr w:type="spellEnd"/>
            <w:r w:rsidRPr="007379D9">
              <w:rPr>
                <w:sz w:val="24"/>
              </w:rPr>
              <w:t>, tiek kategorizētas pēc apmeklētāju skaita dienā. Vēršam uzmanību, ka, lai sasniegtu Ārstniecības likuma 9</w:t>
            </w:r>
            <w:r w:rsidRPr="007379D9">
              <w:rPr>
                <w:sz w:val="24"/>
                <w:vertAlign w:val="superscript"/>
              </w:rPr>
              <w:t>2</w:t>
            </w:r>
            <w:r w:rsidRPr="007379D9">
              <w:rPr>
                <w:sz w:val="24"/>
              </w:rPr>
              <w:t xml:space="preserve">. panta mērķi, svarīga ir cilvēku plūsma konkrētajā vietā neatkarīgi no šo cilvēku statusa; </w:t>
            </w:r>
            <w:proofErr w:type="spellStart"/>
            <w:r w:rsidRPr="007379D9">
              <w:rPr>
                <w:sz w:val="24"/>
              </w:rPr>
              <w:t>kategorizācija</w:t>
            </w:r>
            <w:proofErr w:type="spellEnd"/>
            <w:r w:rsidRPr="007379D9">
              <w:rPr>
                <w:sz w:val="24"/>
              </w:rPr>
              <w:t xml:space="preserve"> pēc apmeklētāju skaita var tikt šauri interpretēta, piemēram, ka darbinieks nav apmeklētājs, līdz ar to neuzstādot </w:t>
            </w:r>
            <w:proofErr w:type="spellStart"/>
            <w:r w:rsidRPr="007379D9">
              <w:rPr>
                <w:sz w:val="24"/>
              </w:rPr>
              <w:t>defibrilatoru</w:t>
            </w:r>
            <w:proofErr w:type="spellEnd"/>
            <w:r w:rsidRPr="007379D9">
              <w:rPr>
                <w:sz w:val="24"/>
              </w:rPr>
              <w:t xml:space="preserve"> vietās, kur ikdienā ir liela cilvēku plūsma, taču tie nav apmeklētāji, bet personas, kuru atrašanās attiecīgajā vietā ir saistīta ar darba pienākumu izpildi, pasākuma organizēšanu vai ir uz uzņēmuma līguma pamata (piemēram, ražošanas uzņēmums, biroju ēka u.tml.)</w:t>
            </w:r>
          </w:p>
        </w:tc>
        <w:tc>
          <w:tcPr>
            <w:tcW w:w="1350" w:type="dxa"/>
            <w:shd w:val="clear" w:color="auto" w:fill="FFFFFF"/>
            <w:noWrap/>
            <w:tcMar>
              <w:top w:w="75" w:type="dxa"/>
              <w:left w:w="75" w:type="dxa"/>
              <w:bottom w:w="75" w:type="dxa"/>
              <w:right w:w="75" w:type="dxa"/>
            </w:tcMar>
            <w:vAlign w:val="center"/>
          </w:tcPr>
          <w:p w14:paraId="4363BC54" w14:textId="16E2A8D9" w:rsidR="007379D9" w:rsidRDefault="000C76CC">
            <w:pPr>
              <w:jc w:val="center"/>
              <w:rPr>
                <w:b/>
              </w:rPr>
            </w:pPr>
            <w:r>
              <w:rPr>
                <w:b/>
              </w:rPr>
              <w:t>Ņ</w:t>
            </w:r>
            <w:r w:rsidR="007379D9">
              <w:rPr>
                <w:b/>
              </w:rPr>
              <w:t>emts vērā</w:t>
            </w:r>
          </w:p>
        </w:tc>
        <w:tc>
          <w:tcPr>
            <w:tcW w:w="4156" w:type="dxa"/>
            <w:shd w:val="clear" w:color="auto" w:fill="FFFFFF"/>
            <w:noWrap/>
            <w:tcMar>
              <w:top w:w="75" w:type="dxa"/>
              <w:left w:w="75" w:type="dxa"/>
              <w:bottom w:w="75" w:type="dxa"/>
              <w:right w:w="75" w:type="dxa"/>
            </w:tcMar>
            <w:vAlign w:val="center"/>
          </w:tcPr>
          <w:p w14:paraId="01BBD378" w14:textId="77777777" w:rsidR="007379D9" w:rsidRPr="007379D9" w:rsidRDefault="007379D9" w:rsidP="007379D9">
            <w:pPr>
              <w:rPr>
                <w:bCs/>
                <w:sz w:val="24"/>
                <w:szCs w:val="24"/>
              </w:rPr>
            </w:pPr>
            <w:r w:rsidRPr="007379D9">
              <w:rPr>
                <w:bCs/>
                <w:sz w:val="24"/>
                <w:szCs w:val="24"/>
              </w:rPr>
              <w:t xml:space="preserve">Precizēts noteikumu projekta 2.punkts, izteikts šādā redakcijā: </w:t>
            </w:r>
          </w:p>
          <w:p w14:paraId="1DAC6342" w14:textId="75CBDBA9" w:rsidR="007379D9" w:rsidRPr="007379D9" w:rsidRDefault="007379D9" w:rsidP="007379D9">
            <w:pPr>
              <w:pStyle w:val="ListParagraph"/>
              <w:numPr>
                <w:ilvl w:val="0"/>
                <w:numId w:val="1"/>
              </w:numPr>
              <w:spacing w:after="160" w:line="259" w:lineRule="auto"/>
              <w:rPr>
                <w:bCs/>
                <w:color w:val="000000" w:themeColor="text1"/>
                <w:sz w:val="24"/>
                <w:szCs w:val="24"/>
              </w:rPr>
            </w:pPr>
            <w:proofErr w:type="spellStart"/>
            <w:r w:rsidRPr="007379D9">
              <w:rPr>
                <w:bCs/>
                <w:color w:val="000000" w:themeColor="text1"/>
                <w:sz w:val="24"/>
                <w:szCs w:val="24"/>
              </w:rPr>
              <w:t>Defibrilatoru</w:t>
            </w:r>
            <w:proofErr w:type="spellEnd"/>
            <w:r w:rsidRPr="007379D9">
              <w:rPr>
                <w:bCs/>
                <w:color w:val="000000" w:themeColor="text1"/>
                <w:sz w:val="24"/>
                <w:szCs w:val="24"/>
              </w:rPr>
              <w:t xml:space="preserve"> uzstāda publiskās vietās atbilstoši šādām kategorijām:</w:t>
            </w:r>
          </w:p>
          <w:p w14:paraId="54CD095B" w14:textId="77777777" w:rsidR="007379D9" w:rsidRPr="007379D9" w:rsidRDefault="007379D9" w:rsidP="007379D9">
            <w:pPr>
              <w:spacing w:after="160" w:line="259" w:lineRule="auto"/>
              <w:ind w:left="1080"/>
              <w:rPr>
                <w:bCs/>
                <w:color w:val="000000" w:themeColor="text1"/>
                <w:sz w:val="24"/>
                <w:szCs w:val="24"/>
              </w:rPr>
            </w:pPr>
            <w:r w:rsidRPr="007379D9">
              <w:rPr>
                <w:bCs/>
                <w:color w:val="000000" w:themeColor="text1"/>
                <w:sz w:val="24"/>
                <w:szCs w:val="24"/>
              </w:rPr>
              <w:t>2.1.</w:t>
            </w:r>
            <w:r w:rsidRPr="007379D9">
              <w:rPr>
                <w:bCs/>
                <w:color w:val="000000" w:themeColor="text1"/>
                <w:sz w:val="24"/>
                <w:szCs w:val="24"/>
              </w:rPr>
              <w:t xml:space="preserve"> I kategorija vietās, kur tiek uzņemti vairāk kā 1500 cilvēki</w:t>
            </w:r>
            <w:r w:rsidRPr="007379D9">
              <w:rPr>
                <w:bCs/>
                <w:color w:val="000000" w:themeColor="text1"/>
                <w:sz w:val="24"/>
                <w:szCs w:val="24"/>
              </w:rPr>
              <w:t xml:space="preserve"> </w:t>
            </w:r>
            <w:r w:rsidRPr="007379D9">
              <w:rPr>
                <w:bCs/>
                <w:color w:val="000000" w:themeColor="text1"/>
                <w:sz w:val="24"/>
                <w:szCs w:val="24"/>
              </w:rPr>
              <w:t>dienā;</w:t>
            </w:r>
          </w:p>
          <w:p w14:paraId="32412808" w14:textId="77777777" w:rsidR="007379D9" w:rsidRPr="007379D9" w:rsidRDefault="007379D9" w:rsidP="007379D9">
            <w:pPr>
              <w:spacing w:after="160" w:line="259" w:lineRule="auto"/>
              <w:ind w:left="1080"/>
              <w:rPr>
                <w:bCs/>
                <w:color w:val="000000" w:themeColor="text1"/>
                <w:sz w:val="24"/>
                <w:szCs w:val="24"/>
              </w:rPr>
            </w:pPr>
            <w:r w:rsidRPr="007379D9">
              <w:rPr>
                <w:bCs/>
                <w:color w:val="000000" w:themeColor="text1"/>
                <w:sz w:val="24"/>
                <w:szCs w:val="24"/>
              </w:rPr>
              <w:t xml:space="preserve">2.2. </w:t>
            </w:r>
            <w:r w:rsidRPr="007379D9">
              <w:rPr>
                <w:bCs/>
                <w:color w:val="000000" w:themeColor="text1"/>
                <w:sz w:val="24"/>
                <w:szCs w:val="24"/>
              </w:rPr>
              <w:t xml:space="preserve"> II kategorija vietās, kur tiek uzņemti no 701 līdz 1500 cilvēkiem</w:t>
            </w:r>
            <w:r w:rsidRPr="007379D9">
              <w:rPr>
                <w:bCs/>
                <w:color w:val="000000" w:themeColor="text1"/>
                <w:sz w:val="24"/>
                <w:szCs w:val="24"/>
              </w:rPr>
              <w:t xml:space="preserve"> </w:t>
            </w:r>
            <w:r w:rsidRPr="007379D9">
              <w:rPr>
                <w:bCs/>
                <w:color w:val="000000" w:themeColor="text1"/>
                <w:sz w:val="24"/>
                <w:szCs w:val="24"/>
              </w:rPr>
              <w:t>dienā;</w:t>
            </w:r>
          </w:p>
          <w:p w14:paraId="2538BF96" w14:textId="77777777" w:rsidR="007379D9" w:rsidRPr="007379D9" w:rsidRDefault="007379D9" w:rsidP="007379D9">
            <w:pPr>
              <w:spacing w:after="160" w:line="259" w:lineRule="auto"/>
              <w:ind w:left="1080"/>
              <w:rPr>
                <w:bCs/>
                <w:color w:val="000000" w:themeColor="text1"/>
                <w:sz w:val="24"/>
                <w:szCs w:val="24"/>
              </w:rPr>
            </w:pPr>
            <w:r w:rsidRPr="007379D9">
              <w:rPr>
                <w:bCs/>
                <w:color w:val="000000" w:themeColor="text1"/>
                <w:sz w:val="24"/>
                <w:szCs w:val="24"/>
              </w:rPr>
              <w:t xml:space="preserve">2.3. </w:t>
            </w:r>
            <w:r w:rsidRPr="007379D9">
              <w:rPr>
                <w:bCs/>
                <w:color w:val="000000" w:themeColor="text1"/>
                <w:sz w:val="24"/>
                <w:szCs w:val="24"/>
              </w:rPr>
              <w:t>III kategorija vietās, kur tiek uzņemti no 301 līdz 700 cilvēkiem</w:t>
            </w:r>
            <w:r w:rsidRPr="007379D9">
              <w:rPr>
                <w:bCs/>
                <w:color w:val="000000" w:themeColor="text1"/>
                <w:sz w:val="24"/>
                <w:szCs w:val="24"/>
              </w:rPr>
              <w:t xml:space="preserve"> </w:t>
            </w:r>
            <w:r w:rsidRPr="007379D9">
              <w:rPr>
                <w:bCs/>
                <w:color w:val="000000" w:themeColor="text1"/>
                <w:sz w:val="24"/>
                <w:szCs w:val="24"/>
              </w:rPr>
              <w:t>dienā;</w:t>
            </w:r>
          </w:p>
          <w:p w14:paraId="78ECDEC4" w14:textId="0CE249C6" w:rsidR="007379D9" w:rsidRPr="007379D9" w:rsidRDefault="007379D9" w:rsidP="007379D9">
            <w:pPr>
              <w:spacing w:after="160" w:line="259" w:lineRule="auto"/>
              <w:ind w:left="1080"/>
              <w:rPr>
                <w:color w:val="000000" w:themeColor="text1"/>
                <w:sz w:val="24"/>
                <w:szCs w:val="24"/>
              </w:rPr>
            </w:pPr>
            <w:r w:rsidRPr="007379D9">
              <w:rPr>
                <w:bCs/>
                <w:color w:val="000000" w:themeColor="text1"/>
                <w:sz w:val="24"/>
                <w:szCs w:val="24"/>
              </w:rPr>
              <w:t xml:space="preserve">2.4. </w:t>
            </w:r>
            <w:r w:rsidRPr="007379D9">
              <w:rPr>
                <w:bCs/>
                <w:sz w:val="24"/>
                <w:szCs w:val="24"/>
              </w:rPr>
              <w:t>IV kategorija vietās, kur tiek uzņemti mazāk kā 300 cilvēku</w:t>
            </w:r>
            <w:r w:rsidRPr="007379D9">
              <w:rPr>
                <w:bCs/>
                <w:sz w:val="24"/>
                <w:szCs w:val="24"/>
              </w:rPr>
              <w:t xml:space="preserve"> </w:t>
            </w:r>
            <w:r w:rsidRPr="007379D9">
              <w:rPr>
                <w:bCs/>
                <w:sz w:val="24"/>
                <w:szCs w:val="24"/>
              </w:rPr>
              <w:t xml:space="preserve">dienā, īpašnieks vai valdītājs uzstāda </w:t>
            </w:r>
            <w:proofErr w:type="spellStart"/>
            <w:r w:rsidRPr="007379D9">
              <w:rPr>
                <w:bCs/>
                <w:sz w:val="24"/>
                <w:szCs w:val="24"/>
              </w:rPr>
              <w:t>defibrilatoru</w:t>
            </w:r>
            <w:proofErr w:type="spellEnd"/>
            <w:r w:rsidRPr="007379D9">
              <w:rPr>
                <w:bCs/>
                <w:sz w:val="24"/>
                <w:szCs w:val="24"/>
              </w:rPr>
              <w:t xml:space="preserve">  brīvprātīgi</w:t>
            </w:r>
            <w:r w:rsidRPr="007379D9">
              <w:rPr>
                <w:sz w:val="24"/>
                <w:szCs w:val="24"/>
              </w:rPr>
              <w:t xml:space="preserve">.  </w:t>
            </w:r>
          </w:p>
          <w:p w14:paraId="643CC0EC" w14:textId="17AAD608" w:rsidR="007379D9" w:rsidRDefault="007379D9">
            <w:pPr>
              <w:jc w:val="center"/>
              <w:rPr>
                <w:b/>
              </w:rPr>
            </w:pPr>
          </w:p>
        </w:tc>
      </w:tr>
      <w:tr w:rsidR="007379D9" w14:paraId="4DF96AED" w14:textId="77777777">
        <w:tc>
          <w:tcPr>
            <w:tcW w:w="750" w:type="dxa"/>
            <w:shd w:val="clear" w:color="auto" w:fill="FFFFFF"/>
            <w:noWrap/>
            <w:tcMar>
              <w:top w:w="75" w:type="dxa"/>
              <w:left w:w="75" w:type="dxa"/>
              <w:bottom w:w="75" w:type="dxa"/>
              <w:right w:w="75" w:type="dxa"/>
            </w:tcMar>
            <w:vAlign w:val="center"/>
          </w:tcPr>
          <w:p w14:paraId="29C4EFF5" w14:textId="77777777" w:rsidR="007379D9" w:rsidRPr="007379D9" w:rsidRDefault="007379D9" w:rsidP="007379D9">
            <w:pPr>
              <w:pStyle w:val="ListParagraph"/>
              <w:numPr>
                <w:ilvl w:val="0"/>
                <w:numId w:val="1"/>
              </w:numPr>
              <w:jc w:val="center"/>
              <w:rPr>
                <w:b/>
              </w:rPr>
            </w:pPr>
          </w:p>
        </w:tc>
        <w:tc>
          <w:tcPr>
            <w:tcW w:w="4155" w:type="dxa"/>
            <w:shd w:val="clear" w:color="auto" w:fill="FFFFFF"/>
            <w:noWrap/>
            <w:tcMar>
              <w:top w:w="75" w:type="dxa"/>
              <w:left w:w="75" w:type="dxa"/>
              <w:bottom w:w="75" w:type="dxa"/>
              <w:right w:w="75" w:type="dxa"/>
            </w:tcMar>
            <w:vAlign w:val="center"/>
          </w:tcPr>
          <w:p w14:paraId="03365E14" w14:textId="5E235930" w:rsidR="007379D9" w:rsidRDefault="007379D9" w:rsidP="007379D9">
            <w:pPr>
              <w:jc w:val="left"/>
              <w:rPr>
                <w:b/>
              </w:rPr>
            </w:pPr>
            <w:r>
              <w:rPr>
                <w:b/>
              </w:rPr>
              <w:t>Rīgas Stradiņa universitāte</w:t>
            </w:r>
          </w:p>
        </w:tc>
        <w:tc>
          <w:tcPr>
            <w:tcW w:w="4156" w:type="dxa"/>
            <w:shd w:val="clear" w:color="auto" w:fill="FFFFFF"/>
            <w:noWrap/>
            <w:tcMar>
              <w:top w:w="75" w:type="dxa"/>
              <w:left w:w="75" w:type="dxa"/>
              <w:bottom w:w="75" w:type="dxa"/>
              <w:right w:w="75" w:type="dxa"/>
            </w:tcMar>
            <w:vAlign w:val="center"/>
          </w:tcPr>
          <w:p w14:paraId="57C3D119" w14:textId="6A2DE334" w:rsidR="007379D9" w:rsidRPr="007379D9" w:rsidRDefault="007379D9" w:rsidP="007379D9">
            <w:pPr>
              <w:spacing w:after="160" w:line="259" w:lineRule="auto"/>
              <w:rPr>
                <w:sz w:val="24"/>
              </w:rPr>
            </w:pPr>
            <w:r w:rsidRPr="007379D9">
              <w:rPr>
                <w:sz w:val="24"/>
              </w:rPr>
              <w:t xml:space="preserve">noteikumu projektā nav paredzēta, taču būtu jāparedz tehniskā prasība </w:t>
            </w:r>
            <w:proofErr w:type="spellStart"/>
            <w:r w:rsidRPr="007379D9">
              <w:rPr>
                <w:sz w:val="24"/>
              </w:rPr>
              <w:t>defibrilatoram</w:t>
            </w:r>
            <w:proofErr w:type="spellEnd"/>
            <w:r w:rsidRPr="007379D9">
              <w:rPr>
                <w:sz w:val="24"/>
              </w:rPr>
              <w:t xml:space="preserve">, ka tas sniedz audio informāciju latviešu valodā un ka teksts, ko satur </w:t>
            </w:r>
            <w:proofErr w:type="spellStart"/>
            <w:r w:rsidRPr="007379D9">
              <w:rPr>
                <w:sz w:val="24"/>
              </w:rPr>
              <w:t>defibrilatora</w:t>
            </w:r>
            <w:proofErr w:type="spellEnd"/>
            <w:r w:rsidRPr="007379D9">
              <w:rPr>
                <w:sz w:val="24"/>
              </w:rPr>
              <w:t xml:space="preserve"> vizuālā informācija, ir latviešu valodā. Šāda prasība ir obligāti nepieciešama, lai sasniegtu mērķi – efektīvi sniegt palīdzību cietušajam, kad ir apdraudēta dzīvība sirds apstāšanās dēļ.</w:t>
            </w:r>
          </w:p>
        </w:tc>
        <w:tc>
          <w:tcPr>
            <w:tcW w:w="1350" w:type="dxa"/>
            <w:shd w:val="clear" w:color="auto" w:fill="FFFFFF"/>
            <w:noWrap/>
            <w:tcMar>
              <w:top w:w="75" w:type="dxa"/>
              <w:left w:w="75" w:type="dxa"/>
              <w:bottom w:w="75" w:type="dxa"/>
              <w:right w:w="75" w:type="dxa"/>
            </w:tcMar>
            <w:vAlign w:val="center"/>
          </w:tcPr>
          <w:p w14:paraId="0E398FE4" w14:textId="1902BA2D" w:rsidR="007379D9" w:rsidRDefault="007379D9">
            <w:pPr>
              <w:jc w:val="center"/>
              <w:rPr>
                <w:b/>
              </w:rPr>
            </w:pPr>
            <w:r>
              <w:rPr>
                <w:b/>
              </w:rPr>
              <w:t>Nav ņemts vērā</w:t>
            </w:r>
          </w:p>
        </w:tc>
        <w:tc>
          <w:tcPr>
            <w:tcW w:w="4156" w:type="dxa"/>
            <w:shd w:val="clear" w:color="auto" w:fill="FFFFFF"/>
            <w:noWrap/>
            <w:tcMar>
              <w:top w:w="75" w:type="dxa"/>
              <w:left w:w="75" w:type="dxa"/>
              <w:bottom w:w="75" w:type="dxa"/>
              <w:right w:w="75" w:type="dxa"/>
            </w:tcMar>
            <w:vAlign w:val="center"/>
          </w:tcPr>
          <w:p w14:paraId="42CE6C6D" w14:textId="3274E787" w:rsidR="007379D9" w:rsidRPr="007379D9" w:rsidRDefault="007379D9" w:rsidP="007379D9">
            <w:pPr>
              <w:widowControl w:val="0"/>
              <w:rPr>
                <w:sz w:val="24"/>
                <w:szCs w:val="24"/>
              </w:rPr>
            </w:pPr>
            <w:r w:rsidRPr="007379D9">
              <w:rPr>
                <w:sz w:val="24"/>
                <w:szCs w:val="24"/>
              </w:rPr>
              <w:t xml:space="preserve">Noteikumu projektā nav aprakstīta ārējā </w:t>
            </w:r>
            <w:proofErr w:type="spellStart"/>
            <w:r w:rsidRPr="007379D9">
              <w:rPr>
                <w:sz w:val="24"/>
                <w:szCs w:val="24"/>
              </w:rPr>
              <w:t>defibrilatora</w:t>
            </w:r>
            <w:proofErr w:type="spellEnd"/>
            <w:r w:rsidRPr="007379D9">
              <w:rPr>
                <w:sz w:val="24"/>
                <w:szCs w:val="24"/>
              </w:rPr>
              <w:t xml:space="preserve"> tehniskā prasība, jo pēc būtības </w:t>
            </w:r>
            <w:proofErr w:type="spellStart"/>
            <w:r w:rsidRPr="007379D9">
              <w:rPr>
                <w:sz w:val="24"/>
                <w:szCs w:val="24"/>
              </w:rPr>
              <w:t>defibrilatora</w:t>
            </w:r>
            <w:proofErr w:type="spellEnd"/>
            <w:r w:rsidRPr="007379D9">
              <w:rPr>
                <w:sz w:val="24"/>
                <w:szCs w:val="24"/>
              </w:rPr>
              <w:t xml:space="preserve"> ražotājam ir jābūt reģistrētam Zāļu Valsts aģentūrā, kur jau tiek paredzēts, ka </w:t>
            </w:r>
            <w:proofErr w:type="spellStart"/>
            <w:r w:rsidRPr="007379D9">
              <w:rPr>
                <w:sz w:val="24"/>
                <w:szCs w:val="24"/>
              </w:rPr>
              <w:t>deifibrilators</w:t>
            </w:r>
            <w:proofErr w:type="spellEnd"/>
            <w:r w:rsidRPr="007379D9">
              <w:rPr>
                <w:sz w:val="24"/>
                <w:szCs w:val="24"/>
              </w:rPr>
              <w:t xml:space="preserve"> audio informāciju sniedz valsts valodā, kā arī </w:t>
            </w:r>
            <w:proofErr w:type="spellStart"/>
            <w:r w:rsidRPr="007379D9">
              <w:rPr>
                <w:sz w:val="24"/>
                <w:szCs w:val="24"/>
              </w:rPr>
              <w:t>defi</w:t>
            </w:r>
            <w:r w:rsidR="0022167F">
              <w:rPr>
                <w:sz w:val="24"/>
                <w:szCs w:val="24"/>
              </w:rPr>
              <w:t>bri</w:t>
            </w:r>
            <w:r w:rsidRPr="007379D9">
              <w:rPr>
                <w:sz w:val="24"/>
                <w:szCs w:val="24"/>
              </w:rPr>
              <w:t>l</w:t>
            </w:r>
            <w:r w:rsidR="0022167F">
              <w:rPr>
                <w:sz w:val="24"/>
                <w:szCs w:val="24"/>
              </w:rPr>
              <w:t>a</w:t>
            </w:r>
            <w:r w:rsidRPr="007379D9">
              <w:rPr>
                <w:sz w:val="24"/>
                <w:szCs w:val="24"/>
              </w:rPr>
              <w:t>tora</w:t>
            </w:r>
            <w:proofErr w:type="spellEnd"/>
            <w:r w:rsidRPr="007379D9">
              <w:rPr>
                <w:sz w:val="24"/>
                <w:szCs w:val="24"/>
              </w:rPr>
              <w:t xml:space="preserve"> lietošanas instrukcija ir valsts valodā. Papildus informējam, ka </w:t>
            </w:r>
            <w:proofErr w:type="spellStart"/>
            <w:r w:rsidRPr="007379D9">
              <w:rPr>
                <w:sz w:val="24"/>
                <w:szCs w:val="24"/>
              </w:rPr>
              <w:t>defibrilators</w:t>
            </w:r>
            <w:proofErr w:type="spellEnd"/>
            <w:r w:rsidRPr="007379D9">
              <w:rPr>
                <w:sz w:val="24"/>
                <w:szCs w:val="24"/>
              </w:rPr>
              <w:t xml:space="preserve"> regulāri veic pašpārbaudi, gadījumos, ja pašpārbaudes rezultātos ir konstatēta kļūda par to signalizē signāllampiņa. </w:t>
            </w:r>
          </w:p>
          <w:p w14:paraId="5151E635" w14:textId="77777777" w:rsidR="007379D9" w:rsidRPr="007379D9" w:rsidRDefault="007379D9">
            <w:pPr>
              <w:jc w:val="center"/>
              <w:rPr>
                <w:b/>
                <w:sz w:val="24"/>
                <w:szCs w:val="24"/>
              </w:rPr>
            </w:pPr>
          </w:p>
        </w:tc>
      </w:tr>
      <w:tr w:rsidR="007379D9" w14:paraId="3944DDAF" w14:textId="77777777">
        <w:tc>
          <w:tcPr>
            <w:tcW w:w="750" w:type="dxa"/>
            <w:shd w:val="clear" w:color="auto" w:fill="FFFFFF"/>
            <w:noWrap/>
            <w:tcMar>
              <w:top w:w="75" w:type="dxa"/>
              <w:left w:w="75" w:type="dxa"/>
              <w:bottom w:w="75" w:type="dxa"/>
              <w:right w:w="75" w:type="dxa"/>
            </w:tcMar>
            <w:vAlign w:val="center"/>
          </w:tcPr>
          <w:p w14:paraId="49A83C16" w14:textId="77777777" w:rsidR="007379D9" w:rsidRPr="007379D9" w:rsidRDefault="007379D9" w:rsidP="007379D9">
            <w:pPr>
              <w:pStyle w:val="ListParagraph"/>
              <w:numPr>
                <w:ilvl w:val="0"/>
                <w:numId w:val="1"/>
              </w:numPr>
              <w:jc w:val="center"/>
              <w:rPr>
                <w:b/>
              </w:rPr>
            </w:pPr>
          </w:p>
        </w:tc>
        <w:tc>
          <w:tcPr>
            <w:tcW w:w="4155" w:type="dxa"/>
            <w:shd w:val="clear" w:color="auto" w:fill="FFFFFF"/>
            <w:noWrap/>
            <w:tcMar>
              <w:top w:w="75" w:type="dxa"/>
              <w:left w:w="75" w:type="dxa"/>
              <w:bottom w:w="75" w:type="dxa"/>
              <w:right w:w="75" w:type="dxa"/>
            </w:tcMar>
            <w:vAlign w:val="center"/>
          </w:tcPr>
          <w:p w14:paraId="5615E2FF" w14:textId="26869BBC" w:rsidR="007379D9" w:rsidRDefault="007379D9" w:rsidP="007379D9">
            <w:pPr>
              <w:jc w:val="left"/>
              <w:rPr>
                <w:b/>
              </w:rPr>
            </w:pPr>
            <w:r>
              <w:rPr>
                <w:b/>
              </w:rPr>
              <w:t>Rīgas Stradiņa universitāte</w:t>
            </w:r>
          </w:p>
        </w:tc>
        <w:tc>
          <w:tcPr>
            <w:tcW w:w="4156" w:type="dxa"/>
            <w:shd w:val="clear" w:color="auto" w:fill="FFFFFF"/>
            <w:noWrap/>
            <w:tcMar>
              <w:top w:w="75" w:type="dxa"/>
              <w:left w:w="75" w:type="dxa"/>
              <w:bottom w:w="75" w:type="dxa"/>
              <w:right w:w="75" w:type="dxa"/>
            </w:tcMar>
            <w:vAlign w:val="center"/>
          </w:tcPr>
          <w:p w14:paraId="20B223A9" w14:textId="5FE489DF" w:rsidR="007379D9" w:rsidRPr="007379D9" w:rsidRDefault="007379D9" w:rsidP="007379D9">
            <w:pPr>
              <w:spacing w:after="160" w:line="259" w:lineRule="auto"/>
              <w:rPr>
                <w:sz w:val="24"/>
              </w:rPr>
            </w:pPr>
            <w:r w:rsidRPr="007379D9">
              <w:rPr>
                <w:sz w:val="24"/>
              </w:rPr>
              <w:t xml:space="preserve">Lai nepieciešamības gadījumā operatīvi atrastu </w:t>
            </w:r>
            <w:proofErr w:type="spellStart"/>
            <w:r w:rsidRPr="007379D9">
              <w:rPr>
                <w:sz w:val="24"/>
              </w:rPr>
              <w:t>defibrilatoru</w:t>
            </w:r>
            <w:proofErr w:type="spellEnd"/>
            <w:r w:rsidRPr="007379D9">
              <w:rPr>
                <w:sz w:val="24"/>
              </w:rPr>
              <w:t xml:space="preserve">, informācijai par </w:t>
            </w:r>
            <w:proofErr w:type="spellStart"/>
            <w:r w:rsidRPr="007379D9">
              <w:rPr>
                <w:sz w:val="24"/>
              </w:rPr>
              <w:t>defibrilatora</w:t>
            </w:r>
            <w:proofErr w:type="spellEnd"/>
            <w:r w:rsidRPr="007379D9">
              <w:rPr>
                <w:sz w:val="24"/>
              </w:rPr>
              <w:t xml:space="preserve"> atrašanās vietu ir jābūt ar lielāku detalizāciju (piemēram, stāvs, telpa u.tml.), nekā paredzēts noteikumu projektā – šobrīd tikai adrese. Vienlaikus nepieciešama informācija par </w:t>
            </w:r>
            <w:proofErr w:type="spellStart"/>
            <w:r w:rsidRPr="007379D9">
              <w:rPr>
                <w:sz w:val="24"/>
              </w:rPr>
              <w:t>defibrilatora</w:t>
            </w:r>
            <w:proofErr w:type="spellEnd"/>
            <w:r w:rsidRPr="007379D9">
              <w:rPr>
                <w:sz w:val="24"/>
              </w:rPr>
              <w:t xml:space="preserve"> pieejamību laikā (vai tas pieejams jebkurā diennakts laikā vai noteiktos laikos, dienās u.tml.).</w:t>
            </w:r>
          </w:p>
        </w:tc>
        <w:tc>
          <w:tcPr>
            <w:tcW w:w="1350" w:type="dxa"/>
            <w:shd w:val="clear" w:color="auto" w:fill="FFFFFF"/>
            <w:noWrap/>
            <w:tcMar>
              <w:top w:w="75" w:type="dxa"/>
              <w:left w:w="75" w:type="dxa"/>
              <w:bottom w:w="75" w:type="dxa"/>
              <w:right w:w="75" w:type="dxa"/>
            </w:tcMar>
            <w:vAlign w:val="center"/>
          </w:tcPr>
          <w:p w14:paraId="6D0EC7C2" w14:textId="5DBF49CE" w:rsidR="007379D9" w:rsidRDefault="007379D9">
            <w:pPr>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429065F8" w14:textId="77777777" w:rsidR="007379D9" w:rsidRPr="007379D9" w:rsidRDefault="007379D9" w:rsidP="007379D9">
            <w:pPr>
              <w:widowControl w:val="0"/>
              <w:rPr>
                <w:sz w:val="24"/>
                <w:szCs w:val="24"/>
              </w:rPr>
            </w:pPr>
            <w:r w:rsidRPr="007379D9">
              <w:rPr>
                <w:sz w:val="24"/>
                <w:szCs w:val="24"/>
              </w:rPr>
              <w:t xml:space="preserve">Papildināts Ministru kabineta noteikumu projekts, izsakot 6.2. punktu šādā redakcijā: “detalizēta </w:t>
            </w:r>
            <w:proofErr w:type="spellStart"/>
            <w:r w:rsidRPr="007379D9">
              <w:rPr>
                <w:sz w:val="24"/>
                <w:szCs w:val="24"/>
              </w:rPr>
              <w:t>defibrilatora</w:t>
            </w:r>
            <w:proofErr w:type="spellEnd"/>
            <w:r w:rsidRPr="007379D9">
              <w:rPr>
                <w:sz w:val="24"/>
                <w:szCs w:val="24"/>
              </w:rPr>
              <w:t xml:space="preserve"> atrašanās vieta – stāvs, telpa un </w:t>
            </w:r>
            <w:proofErr w:type="spellStart"/>
            <w:r w:rsidRPr="007379D9">
              <w:rPr>
                <w:sz w:val="24"/>
                <w:szCs w:val="24"/>
              </w:rPr>
              <w:t>defibrilatora</w:t>
            </w:r>
            <w:proofErr w:type="spellEnd"/>
            <w:r w:rsidRPr="007379D9">
              <w:rPr>
                <w:sz w:val="24"/>
                <w:szCs w:val="24"/>
              </w:rPr>
              <w:t xml:space="preserve"> pieejamības laiks.”</w:t>
            </w:r>
          </w:p>
          <w:p w14:paraId="6B12549C" w14:textId="77777777" w:rsidR="007379D9" w:rsidRDefault="007379D9">
            <w:pPr>
              <w:jc w:val="center"/>
              <w:rPr>
                <w:b/>
              </w:rPr>
            </w:pPr>
          </w:p>
        </w:tc>
      </w:tr>
      <w:tr w:rsidR="007379D9" w14:paraId="403B558B" w14:textId="77777777">
        <w:tc>
          <w:tcPr>
            <w:tcW w:w="750" w:type="dxa"/>
            <w:shd w:val="clear" w:color="auto" w:fill="FFFFFF"/>
            <w:noWrap/>
            <w:tcMar>
              <w:top w:w="75" w:type="dxa"/>
              <w:left w:w="75" w:type="dxa"/>
              <w:bottom w:w="75" w:type="dxa"/>
              <w:right w:w="75" w:type="dxa"/>
            </w:tcMar>
            <w:vAlign w:val="center"/>
          </w:tcPr>
          <w:p w14:paraId="33786563" w14:textId="77777777" w:rsidR="007379D9" w:rsidRPr="007379D9" w:rsidRDefault="007379D9" w:rsidP="007379D9">
            <w:pPr>
              <w:pStyle w:val="ListParagraph"/>
              <w:numPr>
                <w:ilvl w:val="0"/>
                <w:numId w:val="1"/>
              </w:numPr>
              <w:jc w:val="center"/>
              <w:rPr>
                <w:b/>
              </w:rPr>
            </w:pPr>
          </w:p>
        </w:tc>
        <w:tc>
          <w:tcPr>
            <w:tcW w:w="4155" w:type="dxa"/>
            <w:shd w:val="clear" w:color="auto" w:fill="FFFFFF"/>
            <w:noWrap/>
            <w:tcMar>
              <w:top w:w="75" w:type="dxa"/>
              <w:left w:w="75" w:type="dxa"/>
              <w:bottom w:w="75" w:type="dxa"/>
              <w:right w:w="75" w:type="dxa"/>
            </w:tcMar>
            <w:vAlign w:val="center"/>
          </w:tcPr>
          <w:p w14:paraId="2CD66500" w14:textId="31AF00C6" w:rsidR="007379D9" w:rsidRDefault="007379D9" w:rsidP="007379D9">
            <w:pPr>
              <w:jc w:val="left"/>
              <w:rPr>
                <w:b/>
              </w:rPr>
            </w:pPr>
            <w:r>
              <w:rPr>
                <w:b/>
              </w:rPr>
              <w:t>Rīgas Stradiņa universitāte</w:t>
            </w:r>
          </w:p>
        </w:tc>
        <w:tc>
          <w:tcPr>
            <w:tcW w:w="4156" w:type="dxa"/>
            <w:shd w:val="clear" w:color="auto" w:fill="FFFFFF"/>
            <w:noWrap/>
            <w:tcMar>
              <w:top w:w="75" w:type="dxa"/>
              <w:left w:w="75" w:type="dxa"/>
              <w:bottom w:w="75" w:type="dxa"/>
              <w:right w:w="75" w:type="dxa"/>
            </w:tcMar>
            <w:vAlign w:val="center"/>
          </w:tcPr>
          <w:p w14:paraId="37ED8944" w14:textId="3957CA73" w:rsidR="007379D9" w:rsidRPr="007379D9" w:rsidRDefault="007379D9" w:rsidP="007379D9">
            <w:pPr>
              <w:spacing w:after="160" w:line="259" w:lineRule="auto"/>
              <w:rPr>
                <w:sz w:val="24"/>
              </w:rPr>
            </w:pPr>
            <w:r w:rsidRPr="007379D9">
              <w:rPr>
                <w:sz w:val="24"/>
              </w:rPr>
              <w:t xml:space="preserve">Ņemot vērā informācijas tehnoloģiju nemitīgo attīstību, nepieciešams noteikt, ka Zāļu valsts aģentūra publiski norādāmo informāciju par </w:t>
            </w:r>
            <w:proofErr w:type="spellStart"/>
            <w:r w:rsidRPr="007379D9">
              <w:rPr>
                <w:sz w:val="24"/>
              </w:rPr>
              <w:t>defibrilatoriem</w:t>
            </w:r>
            <w:proofErr w:type="spellEnd"/>
            <w:r w:rsidRPr="007379D9">
              <w:rPr>
                <w:sz w:val="24"/>
              </w:rPr>
              <w:t xml:space="preserve"> padara pieejamu un regulāri atjauno arī atvērto datu formātā, lai dotu iespēju attīstīt </w:t>
            </w:r>
            <w:r w:rsidRPr="007379D9">
              <w:rPr>
                <w:sz w:val="24"/>
              </w:rPr>
              <w:lastRenderedPageBreak/>
              <w:t xml:space="preserve">pirmās palīdzības sniegšanu atbalstošas informācijas tehnoloģijas, piemēram, kartes ar </w:t>
            </w:r>
            <w:proofErr w:type="spellStart"/>
            <w:r w:rsidRPr="007379D9">
              <w:rPr>
                <w:sz w:val="24"/>
              </w:rPr>
              <w:t>defibrilatoru</w:t>
            </w:r>
            <w:proofErr w:type="spellEnd"/>
            <w:r w:rsidRPr="007379D9">
              <w:rPr>
                <w:sz w:val="24"/>
              </w:rPr>
              <w:t xml:space="preserve"> atrašanās vietām u.tml. Šādas pieejas nozīmīgumu akcentē Eiropas Ārkārtas numura asociācijas (EENA 112) 2023. gada publikācija</w:t>
            </w:r>
            <w:r>
              <w:rPr>
                <w:rStyle w:val="FootnoteReference"/>
                <w:sz w:val="24"/>
              </w:rPr>
              <w:footnoteReference w:id="1"/>
            </w:r>
            <w:r w:rsidRPr="007379D9">
              <w:rPr>
                <w:sz w:val="24"/>
              </w:rPr>
              <w:t xml:space="preserve"> un starptautiski pētījumi, piemēram, Sakai </w:t>
            </w:r>
            <w:proofErr w:type="spellStart"/>
            <w:r w:rsidRPr="007379D9">
              <w:rPr>
                <w:sz w:val="24"/>
              </w:rPr>
              <w:t>et</w:t>
            </w:r>
            <w:proofErr w:type="spellEnd"/>
            <w:r w:rsidRPr="007379D9">
              <w:rPr>
                <w:sz w:val="24"/>
              </w:rPr>
              <w:t xml:space="preserve"> </w:t>
            </w:r>
            <w:proofErr w:type="spellStart"/>
            <w:r w:rsidRPr="007379D9">
              <w:rPr>
                <w:sz w:val="24"/>
              </w:rPr>
              <w:t>al</w:t>
            </w:r>
            <w:proofErr w:type="spellEnd"/>
            <w:r w:rsidRPr="007379D9">
              <w:rPr>
                <w:sz w:val="24"/>
              </w:rPr>
              <w:t>., 2011</w:t>
            </w:r>
            <w:r>
              <w:rPr>
                <w:rStyle w:val="FootnoteReference"/>
                <w:sz w:val="24"/>
              </w:rPr>
              <w:footnoteReference w:id="2"/>
            </w:r>
            <w:r w:rsidRPr="007379D9">
              <w:rPr>
                <w:sz w:val="24"/>
              </w:rPr>
              <w:t>.</w:t>
            </w:r>
          </w:p>
        </w:tc>
        <w:tc>
          <w:tcPr>
            <w:tcW w:w="1350" w:type="dxa"/>
            <w:shd w:val="clear" w:color="auto" w:fill="FFFFFF"/>
            <w:noWrap/>
            <w:tcMar>
              <w:top w:w="75" w:type="dxa"/>
              <w:left w:w="75" w:type="dxa"/>
              <w:bottom w:w="75" w:type="dxa"/>
              <w:right w:w="75" w:type="dxa"/>
            </w:tcMar>
            <w:vAlign w:val="center"/>
          </w:tcPr>
          <w:p w14:paraId="2EB7CE7F" w14:textId="125DCD1C" w:rsidR="007379D9" w:rsidRDefault="007379D9">
            <w:pPr>
              <w:jc w:val="center"/>
              <w:rPr>
                <w:b/>
              </w:rPr>
            </w:pPr>
            <w:r>
              <w:rPr>
                <w:b/>
              </w:rPr>
              <w:lastRenderedPageBreak/>
              <w:t>Nav ņemts vērā</w:t>
            </w:r>
          </w:p>
        </w:tc>
        <w:tc>
          <w:tcPr>
            <w:tcW w:w="4156" w:type="dxa"/>
            <w:shd w:val="clear" w:color="auto" w:fill="FFFFFF"/>
            <w:noWrap/>
            <w:tcMar>
              <w:top w:w="75" w:type="dxa"/>
              <w:left w:w="75" w:type="dxa"/>
              <w:bottom w:w="75" w:type="dxa"/>
              <w:right w:w="75" w:type="dxa"/>
            </w:tcMar>
            <w:vAlign w:val="center"/>
          </w:tcPr>
          <w:p w14:paraId="12E6A53A" w14:textId="77777777" w:rsidR="007379D9" w:rsidRPr="007379D9" w:rsidRDefault="007379D9" w:rsidP="007379D9">
            <w:pPr>
              <w:widowControl w:val="0"/>
              <w:rPr>
                <w:sz w:val="24"/>
                <w:szCs w:val="24"/>
              </w:rPr>
            </w:pPr>
            <w:r w:rsidRPr="007379D9">
              <w:rPr>
                <w:color w:val="000000" w:themeColor="text1"/>
                <w:sz w:val="24"/>
                <w:szCs w:val="24"/>
              </w:rPr>
              <w:t xml:space="preserve">Skaidrojam, ka Zāļu valsts aģentūra apkopo noteikumos norādīto informāciju un publicē medicīnisko ierīču reģistra  LATMED elektroniskajā datu bāzē aktuālu publiskās vietās pieejamo </w:t>
            </w:r>
            <w:proofErr w:type="spellStart"/>
            <w:r w:rsidRPr="007379D9">
              <w:rPr>
                <w:color w:val="000000" w:themeColor="text1"/>
                <w:sz w:val="24"/>
                <w:szCs w:val="24"/>
              </w:rPr>
              <w:t>defibrilatoru</w:t>
            </w:r>
            <w:proofErr w:type="spellEnd"/>
            <w:r w:rsidRPr="007379D9">
              <w:rPr>
                <w:color w:val="000000" w:themeColor="text1"/>
                <w:sz w:val="24"/>
                <w:szCs w:val="24"/>
              </w:rPr>
              <w:t xml:space="preserve"> sarakstu, publiski norādot publiskās vietas nosaukumu, faktisko </w:t>
            </w:r>
            <w:r w:rsidRPr="007379D9">
              <w:rPr>
                <w:color w:val="000000" w:themeColor="text1"/>
                <w:sz w:val="24"/>
                <w:szCs w:val="24"/>
              </w:rPr>
              <w:lastRenderedPageBreak/>
              <w:t xml:space="preserve">adresi un reģistrācijas numuru (ja tāds ir); detalizētu </w:t>
            </w:r>
            <w:proofErr w:type="spellStart"/>
            <w:r w:rsidRPr="007379D9">
              <w:rPr>
                <w:color w:val="000000" w:themeColor="text1"/>
                <w:sz w:val="24"/>
                <w:szCs w:val="24"/>
              </w:rPr>
              <w:t>defibrilatora</w:t>
            </w:r>
            <w:proofErr w:type="spellEnd"/>
            <w:r w:rsidRPr="007379D9">
              <w:rPr>
                <w:color w:val="000000" w:themeColor="text1"/>
                <w:sz w:val="24"/>
                <w:szCs w:val="24"/>
              </w:rPr>
              <w:t xml:space="preserve"> atrašanās vietu – stāvs, telpa un </w:t>
            </w:r>
            <w:proofErr w:type="spellStart"/>
            <w:r w:rsidRPr="007379D9">
              <w:rPr>
                <w:color w:val="000000" w:themeColor="text1"/>
                <w:sz w:val="24"/>
                <w:szCs w:val="24"/>
              </w:rPr>
              <w:t>defibrilatora</w:t>
            </w:r>
            <w:proofErr w:type="spellEnd"/>
            <w:r w:rsidRPr="007379D9">
              <w:rPr>
                <w:color w:val="000000" w:themeColor="text1"/>
                <w:sz w:val="24"/>
                <w:szCs w:val="24"/>
              </w:rPr>
              <w:t xml:space="preserve"> pieejamības laiku, modeli un tipu. Informējam, ka LATMED datu bāze ir pieejama ikvienam iedzīvotājam timekļa vietnē: </w:t>
            </w:r>
            <w:hyperlink r:id="rId7" w:history="1">
              <w:r w:rsidRPr="007379D9">
                <w:rPr>
                  <w:rStyle w:val="Hyperlink"/>
                  <w:sz w:val="24"/>
                  <w:szCs w:val="24"/>
                </w:rPr>
                <w:t>https://latmed.zva.gov.lv/</w:t>
              </w:r>
            </w:hyperlink>
            <w:r w:rsidRPr="007379D9">
              <w:rPr>
                <w:color w:val="000000" w:themeColor="text1"/>
                <w:sz w:val="24"/>
                <w:szCs w:val="24"/>
              </w:rPr>
              <w:t xml:space="preserve">, jaunas informācijas tehnoloģijas izveide prasīs papildus finanšu līdzekļus, kuri šobrīd Veselības ministrijas rīcībā nav. </w:t>
            </w:r>
          </w:p>
          <w:p w14:paraId="5C799AFA" w14:textId="77777777" w:rsidR="007379D9" w:rsidRPr="007379D9" w:rsidRDefault="007379D9">
            <w:pPr>
              <w:jc w:val="center"/>
              <w:rPr>
                <w:b/>
                <w:sz w:val="24"/>
                <w:szCs w:val="24"/>
              </w:rPr>
            </w:pPr>
          </w:p>
        </w:tc>
      </w:tr>
      <w:tr w:rsidR="007379D9" w14:paraId="3146CF74" w14:textId="77777777">
        <w:tc>
          <w:tcPr>
            <w:tcW w:w="750" w:type="dxa"/>
            <w:shd w:val="clear" w:color="auto" w:fill="FFFFFF"/>
            <w:noWrap/>
            <w:tcMar>
              <w:top w:w="75" w:type="dxa"/>
              <w:left w:w="75" w:type="dxa"/>
              <w:bottom w:w="75" w:type="dxa"/>
              <w:right w:w="75" w:type="dxa"/>
            </w:tcMar>
            <w:vAlign w:val="center"/>
          </w:tcPr>
          <w:p w14:paraId="643013DD" w14:textId="77777777" w:rsidR="007379D9" w:rsidRPr="007379D9" w:rsidRDefault="007379D9" w:rsidP="007379D9">
            <w:pPr>
              <w:pStyle w:val="ListParagraph"/>
              <w:numPr>
                <w:ilvl w:val="0"/>
                <w:numId w:val="1"/>
              </w:numPr>
              <w:jc w:val="center"/>
              <w:rPr>
                <w:b/>
              </w:rPr>
            </w:pPr>
          </w:p>
        </w:tc>
        <w:tc>
          <w:tcPr>
            <w:tcW w:w="4155" w:type="dxa"/>
            <w:shd w:val="clear" w:color="auto" w:fill="FFFFFF"/>
            <w:noWrap/>
            <w:tcMar>
              <w:top w:w="75" w:type="dxa"/>
              <w:left w:w="75" w:type="dxa"/>
              <w:bottom w:w="75" w:type="dxa"/>
              <w:right w:w="75" w:type="dxa"/>
            </w:tcMar>
            <w:vAlign w:val="center"/>
          </w:tcPr>
          <w:p w14:paraId="2377015E" w14:textId="4393F6C9" w:rsidR="007379D9" w:rsidRDefault="007379D9" w:rsidP="007379D9">
            <w:pPr>
              <w:jc w:val="left"/>
              <w:rPr>
                <w:b/>
              </w:rPr>
            </w:pPr>
            <w:r>
              <w:rPr>
                <w:b/>
              </w:rPr>
              <w:t xml:space="preserve">Rīgas Stradiņa </w:t>
            </w:r>
            <w:proofErr w:type="spellStart"/>
            <w:r>
              <w:rPr>
                <w:b/>
              </w:rPr>
              <w:t>univeristāte</w:t>
            </w:r>
            <w:proofErr w:type="spellEnd"/>
          </w:p>
        </w:tc>
        <w:tc>
          <w:tcPr>
            <w:tcW w:w="4156" w:type="dxa"/>
            <w:shd w:val="clear" w:color="auto" w:fill="FFFFFF"/>
            <w:noWrap/>
            <w:tcMar>
              <w:top w:w="75" w:type="dxa"/>
              <w:left w:w="75" w:type="dxa"/>
              <w:bottom w:w="75" w:type="dxa"/>
              <w:right w:w="75" w:type="dxa"/>
            </w:tcMar>
            <w:vAlign w:val="center"/>
          </w:tcPr>
          <w:p w14:paraId="277C4532" w14:textId="0B3A7C7F" w:rsidR="007379D9" w:rsidRPr="007379D9" w:rsidRDefault="007379D9" w:rsidP="007379D9">
            <w:pPr>
              <w:rPr>
                <w:sz w:val="24"/>
              </w:rPr>
            </w:pPr>
            <w:r w:rsidRPr="00C41AEF">
              <w:rPr>
                <w:sz w:val="24"/>
              </w:rPr>
              <w:t>RSU vērš uzmanību, ka, izpildot Ārstniecības likuma 9</w:t>
            </w:r>
            <w:r w:rsidRPr="00C41AEF">
              <w:rPr>
                <w:sz w:val="24"/>
                <w:vertAlign w:val="superscript"/>
              </w:rPr>
              <w:t>2</w:t>
            </w:r>
            <w:r w:rsidRPr="00C41AEF">
              <w:rPr>
                <w:sz w:val="24"/>
              </w:rPr>
              <w:t xml:space="preserve">. panta otrās daļas trešajā apakšpunktā doto deleģējumu Ministru kabinetam </w:t>
            </w:r>
            <w:r w:rsidRPr="00C41AEF">
              <w:rPr>
                <w:i/>
                <w:sz w:val="24"/>
              </w:rPr>
              <w:t xml:space="preserve">noteikt automatizēto ārējo </w:t>
            </w:r>
            <w:proofErr w:type="spellStart"/>
            <w:r w:rsidRPr="00C41AEF">
              <w:rPr>
                <w:i/>
                <w:sz w:val="24"/>
              </w:rPr>
              <w:t>defibrilatoru</w:t>
            </w:r>
            <w:proofErr w:type="spellEnd"/>
            <w:r w:rsidRPr="00C41AEF">
              <w:rPr>
                <w:i/>
                <w:sz w:val="24"/>
              </w:rPr>
              <w:t xml:space="preserve"> lietošanai nepieciešamās apmācības programmas saturu, šīs apmācības nodrošināšanas un apmācības apliecības izsniegšanas kārtību, kā arī termiņu, uz kādu izsniedz apmācības apliecību</w:t>
            </w:r>
            <w:r w:rsidRPr="00C41AEF">
              <w:rPr>
                <w:sz w:val="24"/>
              </w:rPr>
              <w:t xml:space="preserve">, nedrīkstētu ierobežot to personu loku, kas, sniedzot pirmo palīdzību, drīkst izmantot automatizēto ārējo </w:t>
            </w:r>
            <w:proofErr w:type="spellStart"/>
            <w:r w:rsidRPr="00C41AEF">
              <w:rPr>
                <w:sz w:val="24"/>
              </w:rPr>
              <w:t>defibrilatoru</w:t>
            </w:r>
            <w:proofErr w:type="spellEnd"/>
            <w:r w:rsidRPr="00C41AEF">
              <w:rPr>
                <w:sz w:val="24"/>
              </w:rPr>
              <w:t xml:space="preserve">. Šāda pieeja akcentēta gan Ārstniecības likuma 1. panta 13. apakšpunktā – pirmās palīdzības definīcijā –, gan Eiropas </w:t>
            </w:r>
            <w:r w:rsidRPr="00C41AEF">
              <w:rPr>
                <w:sz w:val="24"/>
              </w:rPr>
              <w:lastRenderedPageBreak/>
              <w:t xml:space="preserve">Ārkārtas numura asociācijas rekomendācijās (“Likumdošana – Noteikt, ka ikviens drīkst izmantot AED” – EENA (2023). AED </w:t>
            </w:r>
            <w:proofErr w:type="spellStart"/>
            <w:r w:rsidRPr="00C41AEF">
              <w:rPr>
                <w:sz w:val="24"/>
              </w:rPr>
              <w:t>Mapping</w:t>
            </w:r>
            <w:proofErr w:type="spellEnd"/>
            <w:r w:rsidRPr="00C41AEF">
              <w:rPr>
                <w:sz w:val="24"/>
              </w:rPr>
              <w:t xml:space="preserve"> &amp; </w:t>
            </w:r>
            <w:proofErr w:type="spellStart"/>
            <w:r w:rsidRPr="00C41AEF">
              <w:rPr>
                <w:sz w:val="24"/>
              </w:rPr>
              <w:t>Emergency</w:t>
            </w:r>
            <w:proofErr w:type="spellEnd"/>
            <w:r w:rsidRPr="00C41AEF">
              <w:rPr>
                <w:sz w:val="24"/>
              </w:rPr>
              <w:t xml:space="preserve"> </w:t>
            </w:r>
            <w:proofErr w:type="spellStart"/>
            <w:r w:rsidRPr="00C41AEF">
              <w:rPr>
                <w:sz w:val="24"/>
              </w:rPr>
              <w:t>Response</w:t>
            </w:r>
            <w:proofErr w:type="spellEnd"/>
            <w:r w:rsidRPr="00C41AEF">
              <w:rPr>
                <w:sz w:val="24"/>
              </w:rPr>
              <w:t xml:space="preserve">, 12.lpp.). </w:t>
            </w:r>
          </w:p>
        </w:tc>
        <w:tc>
          <w:tcPr>
            <w:tcW w:w="1350" w:type="dxa"/>
            <w:shd w:val="clear" w:color="auto" w:fill="FFFFFF"/>
            <w:noWrap/>
            <w:tcMar>
              <w:top w:w="75" w:type="dxa"/>
              <w:left w:w="75" w:type="dxa"/>
              <w:bottom w:w="75" w:type="dxa"/>
              <w:right w:w="75" w:type="dxa"/>
            </w:tcMar>
            <w:vAlign w:val="center"/>
          </w:tcPr>
          <w:p w14:paraId="65776508" w14:textId="694C1D02" w:rsidR="007379D9" w:rsidRDefault="007379D9">
            <w:pPr>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306BC3E4" w14:textId="183D9C5F" w:rsidR="007379D9" w:rsidRPr="007379D9" w:rsidRDefault="007379D9" w:rsidP="007379D9">
            <w:pPr>
              <w:spacing w:after="160" w:line="259" w:lineRule="auto"/>
              <w:rPr>
                <w:color w:val="242424"/>
                <w:sz w:val="24"/>
                <w:szCs w:val="24"/>
              </w:rPr>
            </w:pPr>
            <w:r w:rsidRPr="007379D9">
              <w:rPr>
                <w:sz w:val="24"/>
                <w:szCs w:val="24"/>
              </w:rPr>
              <w:t>Papildus informējam, ka Veselības ministrija ir iesniegusi papildus grozījumus Ārstniecības likuma otrajam lasījumam, lūdzot svītrot 9</w:t>
            </w:r>
            <w:r w:rsidRPr="007379D9">
              <w:rPr>
                <w:sz w:val="24"/>
                <w:szCs w:val="24"/>
                <w:vertAlign w:val="superscript"/>
              </w:rPr>
              <w:t>2</w:t>
            </w:r>
            <w:r w:rsidRPr="007379D9">
              <w:rPr>
                <w:sz w:val="24"/>
                <w:szCs w:val="24"/>
              </w:rPr>
              <w:t>. panta 1. daļas vārdu savienojumu “apmācīta persona”, kā arī noteikumu projekts ir papildināts ar jaunu punktu šādā redakcijā: “</w:t>
            </w:r>
            <w:r w:rsidRPr="007379D9">
              <w:rPr>
                <w:color w:val="242424"/>
                <w:sz w:val="24"/>
                <w:szCs w:val="24"/>
              </w:rPr>
              <w:t xml:space="preserve">Publiskās vietas īpašnieks vai valdītājs nodrošina atbildīgās personas apmācību saskaņā ar noteikumiem par apmācību pirmās palīdzības sniegšanā.” Ar iepriekš minēto punktu noteikumu projekts ir papildināts, lai izvairītos no situācijām, ka neviens neprot ar </w:t>
            </w:r>
            <w:proofErr w:type="spellStart"/>
            <w:r w:rsidRPr="007379D9">
              <w:rPr>
                <w:color w:val="242424"/>
                <w:sz w:val="24"/>
                <w:szCs w:val="24"/>
              </w:rPr>
              <w:t>defibrilatoru</w:t>
            </w:r>
            <w:proofErr w:type="spellEnd"/>
            <w:r w:rsidRPr="007379D9">
              <w:rPr>
                <w:color w:val="242424"/>
                <w:sz w:val="24"/>
                <w:szCs w:val="24"/>
              </w:rPr>
              <w:t xml:space="preserve"> rīkoties un steidzamos gadījumos nav sniegta pirmā </w:t>
            </w:r>
            <w:r w:rsidRPr="007379D9">
              <w:rPr>
                <w:color w:val="242424"/>
                <w:sz w:val="24"/>
                <w:szCs w:val="24"/>
              </w:rPr>
              <w:lastRenderedPageBreak/>
              <w:t>palīdzība. Ārstniecības likuma 9</w:t>
            </w:r>
            <w:r w:rsidRPr="001660C0">
              <w:rPr>
                <w:color w:val="242424"/>
                <w:sz w:val="24"/>
                <w:szCs w:val="24"/>
                <w:vertAlign w:val="superscript"/>
              </w:rPr>
              <w:t>2</w:t>
            </w:r>
            <w:r w:rsidRPr="007379D9">
              <w:rPr>
                <w:color w:val="242424"/>
                <w:sz w:val="24"/>
                <w:szCs w:val="24"/>
              </w:rPr>
              <w:t xml:space="preserve">.panta otrās daļas trešā apakšpunkta deleģējums ir iekļauts Ministru kabineta 2012.gada 14.augusta noteikumos Nr.557 “Noteikumi par apmācību pirmās palīdzības sniegšanā”, noteikumi nosaka, ka sākot ar </w:t>
            </w:r>
            <w:r w:rsidRPr="007379D9">
              <w:rPr>
                <w:color w:val="242424"/>
                <w:sz w:val="24"/>
                <w:szCs w:val="24"/>
                <w:bdr w:val="none" w:sz="0" w:space="0" w:color="auto" w:frame="1"/>
                <w:shd w:val="clear" w:color="auto" w:fill="FFFFFF"/>
              </w:rPr>
              <w:t xml:space="preserve">š.g. 1. aprīli apgūstot algoritmu “Glābēja rīcība, ja cietušais bezsamaņā un neelpo” tiek apgūta arī automātiskā ārējā </w:t>
            </w:r>
            <w:proofErr w:type="spellStart"/>
            <w:r w:rsidRPr="007379D9">
              <w:rPr>
                <w:color w:val="242424"/>
                <w:sz w:val="24"/>
                <w:szCs w:val="24"/>
                <w:bdr w:val="none" w:sz="0" w:space="0" w:color="auto" w:frame="1"/>
                <w:shd w:val="clear" w:color="auto" w:fill="FFFFFF"/>
              </w:rPr>
              <w:t>defibrilatora</w:t>
            </w:r>
            <w:proofErr w:type="spellEnd"/>
            <w:r w:rsidRPr="007379D9">
              <w:rPr>
                <w:color w:val="242424"/>
                <w:sz w:val="24"/>
                <w:szCs w:val="24"/>
                <w:bdr w:val="none" w:sz="0" w:space="0" w:color="auto" w:frame="1"/>
                <w:shd w:val="clear" w:color="auto" w:fill="FFFFFF"/>
              </w:rPr>
              <w:t xml:space="preserve"> lietošana atdzīvināšanas pasākumu laikā. </w:t>
            </w:r>
          </w:p>
        </w:tc>
      </w:tr>
    </w:tbl>
    <w:p w14:paraId="031ACBD9" w14:textId="77777777" w:rsidR="00000000" w:rsidRDefault="001660C0"/>
    <w:sectPr w:rsidR="00000000">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9E27" w14:textId="77777777" w:rsidR="00000000" w:rsidRDefault="001660C0">
      <w:r>
        <w:separator/>
      </w:r>
    </w:p>
  </w:endnote>
  <w:endnote w:type="continuationSeparator" w:id="0">
    <w:p w14:paraId="5275645D" w14:textId="77777777" w:rsidR="00000000" w:rsidRDefault="0016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CD2E" w14:textId="12791CF5" w:rsidR="00397EED" w:rsidRDefault="001660C0">
    <w:pPr>
      <w:jc w:val="right"/>
    </w:pPr>
    <w:r>
      <w:rPr>
        <w:sz w:val="24"/>
        <w:szCs w:val="24"/>
      </w:rPr>
      <w:fldChar w:fldCharType="begin"/>
    </w:r>
    <w:r>
      <w:rPr>
        <w:sz w:val="24"/>
        <w:szCs w:val="24"/>
      </w:rPr>
      <w:instrText>PAGE</w:instrText>
    </w:r>
    <w:r w:rsidR="007379D9">
      <w:rPr>
        <w:sz w:val="24"/>
        <w:szCs w:val="24"/>
      </w:rPr>
      <w:fldChar w:fldCharType="separate"/>
    </w:r>
    <w:r w:rsidR="007379D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851F" w14:textId="77777777" w:rsidR="00000000" w:rsidRDefault="001660C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F702" w14:textId="77777777" w:rsidR="00000000" w:rsidRDefault="001660C0">
      <w:r>
        <w:separator/>
      </w:r>
    </w:p>
  </w:footnote>
  <w:footnote w:type="continuationSeparator" w:id="0">
    <w:p w14:paraId="32DD7C58" w14:textId="77777777" w:rsidR="00000000" w:rsidRDefault="001660C0">
      <w:r>
        <w:continuationSeparator/>
      </w:r>
    </w:p>
  </w:footnote>
  <w:footnote w:id="1">
    <w:p w14:paraId="564AA311" w14:textId="77777777" w:rsidR="007379D9" w:rsidRPr="00C41AEF" w:rsidRDefault="007379D9" w:rsidP="007379D9">
      <w:pPr>
        <w:pStyle w:val="FootnoteText"/>
        <w:rPr>
          <w:rFonts w:ascii="Times New Roman" w:hAnsi="Times New Roman" w:cs="Times New Roman"/>
        </w:rPr>
      </w:pPr>
      <w:r w:rsidRPr="00C41AEF">
        <w:rPr>
          <w:rStyle w:val="FootnoteReference"/>
          <w:rFonts w:ascii="Times New Roman" w:hAnsi="Times New Roman" w:cs="Times New Roman"/>
        </w:rPr>
        <w:footnoteRef/>
      </w:r>
      <w:r w:rsidRPr="00C41AEF">
        <w:rPr>
          <w:rFonts w:ascii="Times New Roman" w:hAnsi="Times New Roman" w:cs="Times New Roman"/>
        </w:rPr>
        <w:t xml:space="preserve"> EENA (2023). AED </w:t>
      </w:r>
      <w:proofErr w:type="spellStart"/>
      <w:r w:rsidRPr="00C41AEF">
        <w:rPr>
          <w:rFonts w:ascii="Times New Roman" w:hAnsi="Times New Roman" w:cs="Times New Roman"/>
        </w:rPr>
        <w:t>Mapping</w:t>
      </w:r>
      <w:proofErr w:type="spellEnd"/>
      <w:r w:rsidRPr="00C41AEF">
        <w:rPr>
          <w:rFonts w:ascii="Times New Roman" w:hAnsi="Times New Roman" w:cs="Times New Roman"/>
        </w:rPr>
        <w:t xml:space="preserve"> &amp; </w:t>
      </w:r>
      <w:proofErr w:type="spellStart"/>
      <w:r w:rsidRPr="00C41AEF">
        <w:rPr>
          <w:rFonts w:ascii="Times New Roman" w:hAnsi="Times New Roman" w:cs="Times New Roman"/>
        </w:rPr>
        <w:t>Emergency</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Response</w:t>
      </w:r>
      <w:proofErr w:type="spellEnd"/>
      <w:r w:rsidRPr="00C41AEF">
        <w:rPr>
          <w:rFonts w:ascii="Times New Roman" w:hAnsi="Times New Roman" w:cs="Times New Roman"/>
        </w:rPr>
        <w:t xml:space="preserve"> (pieejama: https://eena.org/wp-content/uploads/AED-Mapping-2023-Update.pdf)</w:t>
      </w:r>
    </w:p>
  </w:footnote>
  <w:footnote w:id="2">
    <w:p w14:paraId="085E9753" w14:textId="77777777" w:rsidR="007379D9" w:rsidRDefault="007379D9" w:rsidP="007379D9">
      <w:pPr>
        <w:pStyle w:val="FootnoteText"/>
        <w:rPr>
          <w:rFonts w:ascii="Times New Roman" w:hAnsi="Times New Roman" w:cs="Times New Roman"/>
        </w:rPr>
      </w:pPr>
      <w:r w:rsidRPr="00C41AEF">
        <w:rPr>
          <w:rStyle w:val="FootnoteReference"/>
          <w:rFonts w:ascii="Times New Roman" w:hAnsi="Times New Roman" w:cs="Times New Roman"/>
        </w:rPr>
        <w:footnoteRef/>
      </w:r>
      <w:r w:rsidRPr="00C41AEF">
        <w:rPr>
          <w:rFonts w:ascii="Times New Roman" w:hAnsi="Times New Roman" w:cs="Times New Roman"/>
        </w:rPr>
        <w:t xml:space="preserve"> </w:t>
      </w:r>
      <w:r w:rsidRPr="00C41AEF">
        <w:rPr>
          <w:rFonts w:ascii="Times New Roman" w:hAnsi="Times New Roman" w:cs="Times New Roman"/>
        </w:rPr>
        <w:t xml:space="preserve">Sakai, T., </w:t>
      </w:r>
      <w:proofErr w:type="spellStart"/>
      <w:r w:rsidRPr="00C41AEF">
        <w:rPr>
          <w:rFonts w:ascii="Times New Roman" w:hAnsi="Times New Roman" w:cs="Times New Roman"/>
        </w:rPr>
        <w:t>Iwami</w:t>
      </w:r>
      <w:proofErr w:type="spellEnd"/>
      <w:r w:rsidRPr="00C41AEF">
        <w:rPr>
          <w:rFonts w:ascii="Times New Roman" w:hAnsi="Times New Roman" w:cs="Times New Roman"/>
        </w:rPr>
        <w:t xml:space="preserve">, T., </w:t>
      </w:r>
      <w:proofErr w:type="spellStart"/>
      <w:r w:rsidRPr="00C41AEF">
        <w:rPr>
          <w:rFonts w:ascii="Times New Roman" w:hAnsi="Times New Roman" w:cs="Times New Roman"/>
        </w:rPr>
        <w:t>Kitamura</w:t>
      </w:r>
      <w:proofErr w:type="spellEnd"/>
      <w:r w:rsidRPr="00C41AEF">
        <w:rPr>
          <w:rFonts w:ascii="Times New Roman" w:hAnsi="Times New Roman" w:cs="Times New Roman"/>
        </w:rPr>
        <w:t xml:space="preserve">, T., </w:t>
      </w:r>
      <w:proofErr w:type="spellStart"/>
      <w:r w:rsidRPr="00C41AEF">
        <w:rPr>
          <w:rFonts w:ascii="Times New Roman" w:hAnsi="Times New Roman" w:cs="Times New Roman"/>
        </w:rPr>
        <w:t>Nishiyama</w:t>
      </w:r>
      <w:proofErr w:type="spellEnd"/>
      <w:r w:rsidRPr="00C41AEF">
        <w:rPr>
          <w:rFonts w:ascii="Times New Roman" w:hAnsi="Times New Roman" w:cs="Times New Roman"/>
        </w:rPr>
        <w:t xml:space="preserve">, C., </w:t>
      </w:r>
      <w:proofErr w:type="spellStart"/>
      <w:r w:rsidRPr="00C41AEF">
        <w:rPr>
          <w:rFonts w:ascii="Times New Roman" w:hAnsi="Times New Roman" w:cs="Times New Roman"/>
        </w:rPr>
        <w:t>Kawamura</w:t>
      </w:r>
      <w:proofErr w:type="spellEnd"/>
      <w:r w:rsidRPr="00C41AEF">
        <w:rPr>
          <w:rFonts w:ascii="Times New Roman" w:hAnsi="Times New Roman" w:cs="Times New Roman"/>
        </w:rPr>
        <w:t xml:space="preserve">, T., </w:t>
      </w:r>
      <w:proofErr w:type="spellStart"/>
      <w:r w:rsidRPr="00C41AEF">
        <w:rPr>
          <w:rFonts w:ascii="Times New Roman" w:hAnsi="Times New Roman" w:cs="Times New Roman"/>
        </w:rPr>
        <w:t>Kajino</w:t>
      </w:r>
      <w:proofErr w:type="spellEnd"/>
      <w:r w:rsidRPr="00C41AEF">
        <w:rPr>
          <w:rFonts w:ascii="Times New Roman" w:hAnsi="Times New Roman" w:cs="Times New Roman"/>
        </w:rPr>
        <w:t xml:space="preserve">, K., ... &amp; </w:t>
      </w:r>
      <w:proofErr w:type="spellStart"/>
      <w:r w:rsidRPr="00C41AEF">
        <w:rPr>
          <w:rFonts w:ascii="Times New Roman" w:hAnsi="Times New Roman" w:cs="Times New Roman"/>
        </w:rPr>
        <w:t>Shimazu</w:t>
      </w:r>
      <w:proofErr w:type="spellEnd"/>
      <w:r w:rsidRPr="00C41AEF">
        <w:rPr>
          <w:rFonts w:ascii="Times New Roman" w:hAnsi="Times New Roman" w:cs="Times New Roman"/>
        </w:rPr>
        <w:t xml:space="preserve">, T. (2011). </w:t>
      </w:r>
      <w:proofErr w:type="spellStart"/>
      <w:r w:rsidRPr="00C41AEF">
        <w:rPr>
          <w:rFonts w:ascii="Times New Roman" w:hAnsi="Times New Roman" w:cs="Times New Roman"/>
        </w:rPr>
        <w:t>Effectiveness</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of</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the</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new</w:t>
      </w:r>
      <w:proofErr w:type="spellEnd"/>
      <w:r w:rsidRPr="00C41AEF">
        <w:rPr>
          <w:rFonts w:ascii="Times New Roman" w:hAnsi="Times New Roman" w:cs="Times New Roman"/>
        </w:rPr>
        <w:t xml:space="preserve"> ‘Mobile AED </w:t>
      </w:r>
      <w:proofErr w:type="spellStart"/>
      <w:r w:rsidRPr="00C41AEF">
        <w:rPr>
          <w:rFonts w:ascii="Times New Roman" w:hAnsi="Times New Roman" w:cs="Times New Roman"/>
        </w:rPr>
        <w:t>Map’to</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find</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and</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retrieve</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an</w:t>
      </w:r>
      <w:proofErr w:type="spellEnd"/>
      <w:r w:rsidRPr="00C41AEF">
        <w:rPr>
          <w:rFonts w:ascii="Times New Roman" w:hAnsi="Times New Roman" w:cs="Times New Roman"/>
        </w:rPr>
        <w:t xml:space="preserve"> AED: a </w:t>
      </w:r>
      <w:proofErr w:type="spellStart"/>
      <w:r w:rsidRPr="00C41AEF">
        <w:rPr>
          <w:rFonts w:ascii="Times New Roman" w:hAnsi="Times New Roman" w:cs="Times New Roman"/>
        </w:rPr>
        <w:t>randomised</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controlled</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trial</w:t>
      </w:r>
      <w:proofErr w:type="spellEnd"/>
      <w:r w:rsidRPr="00C41AEF">
        <w:rPr>
          <w:rFonts w:ascii="Times New Roman" w:hAnsi="Times New Roman" w:cs="Times New Roman"/>
        </w:rPr>
        <w:t xml:space="preserve">. </w:t>
      </w:r>
      <w:proofErr w:type="spellStart"/>
      <w:r w:rsidRPr="00C41AEF">
        <w:rPr>
          <w:rFonts w:ascii="Times New Roman" w:hAnsi="Times New Roman" w:cs="Times New Roman"/>
        </w:rPr>
        <w:t>Resuscitation</w:t>
      </w:r>
      <w:proofErr w:type="spellEnd"/>
      <w:r w:rsidRPr="00C41AEF">
        <w:rPr>
          <w:rFonts w:ascii="Times New Roman" w:hAnsi="Times New Roman" w:cs="Times New Roman"/>
        </w:rPr>
        <w:t>, 82(1), 69-73.</w:t>
      </w:r>
    </w:p>
    <w:p w14:paraId="2FDFFDF4" w14:textId="77777777" w:rsidR="007379D9" w:rsidRPr="00C41AEF" w:rsidRDefault="007379D9" w:rsidP="007379D9">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2D7B" w14:textId="77777777" w:rsidR="00397EED" w:rsidRDefault="001660C0">
    <w:pPr>
      <w:pStyle w:val="Header"/>
      <w:contextualSpacing w:val="0"/>
    </w:pPr>
    <w:r>
      <w:t>Viedokļu pārskats 23-TA-1090</w:t>
    </w:r>
    <w:r>
      <w:br/>
    </w:r>
    <w:r>
      <w:t>Izdrukāts 20.06.2023. 09.14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023" w14:textId="77777777" w:rsidR="00397EED" w:rsidRDefault="001660C0">
    <w:pPr>
      <w:pStyle w:val="Header"/>
      <w:contextualSpacing w:val="0"/>
    </w:pPr>
    <w:r>
      <w:t>Viedokļu pārskats 23-TA-1090</w:t>
    </w:r>
    <w:r>
      <w:br/>
    </w:r>
    <w:r>
      <w:t>Izdrukāts 20.06.2023. 09.14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0FE"/>
    <w:multiLevelType w:val="hybridMultilevel"/>
    <w:tmpl w:val="D298CC04"/>
    <w:lvl w:ilvl="0" w:tplc="BA18D668">
      <w:start w:val="1"/>
      <w:numFmt w:val="decimal"/>
      <w:lvlText w:val="%1."/>
      <w:lvlJc w:val="left"/>
      <w:pPr>
        <w:ind w:left="360" w:hanging="360"/>
      </w:pPr>
      <w:rPr>
        <w:rFonts w:hint="default"/>
      </w:rPr>
    </w:lvl>
    <w:lvl w:ilvl="1" w:tplc="D59EA0D4" w:tentative="1">
      <w:start w:val="1"/>
      <w:numFmt w:val="lowerLetter"/>
      <w:lvlText w:val="%2."/>
      <w:lvlJc w:val="left"/>
      <w:pPr>
        <w:ind w:left="1080" w:hanging="360"/>
      </w:pPr>
    </w:lvl>
    <w:lvl w:ilvl="2" w:tplc="96CC9452" w:tentative="1">
      <w:start w:val="1"/>
      <w:numFmt w:val="lowerRoman"/>
      <w:lvlText w:val="%3."/>
      <w:lvlJc w:val="right"/>
      <w:pPr>
        <w:ind w:left="1800" w:hanging="180"/>
      </w:pPr>
    </w:lvl>
    <w:lvl w:ilvl="3" w:tplc="9A1A7110" w:tentative="1">
      <w:start w:val="1"/>
      <w:numFmt w:val="decimal"/>
      <w:lvlText w:val="%4."/>
      <w:lvlJc w:val="left"/>
      <w:pPr>
        <w:ind w:left="2520" w:hanging="360"/>
      </w:pPr>
    </w:lvl>
    <w:lvl w:ilvl="4" w:tplc="0A06EA62" w:tentative="1">
      <w:start w:val="1"/>
      <w:numFmt w:val="lowerLetter"/>
      <w:lvlText w:val="%5."/>
      <w:lvlJc w:val="left"/>
      <w:pPr>
        <w:ind w:left="3240" w:hanging="360"/>
      </w:pPr>
    </w:lvl>
    <w:lvl w:ilvl="5" w:tplc="5AB2B406" w:tentative="1">
      <w:start w:val="1"/>
      <w:numFmt w:val="lowerRoman"/>
      <w:lvlText w:val="%6."/>
      <w:lvlJc w:val="right"/>
      <w:pPr>
        <w:ind w:left="3960" w:hanging="180"/>
      </w:pPr>
    </w:lvl>
    <w:lvl w:ilvl="6" w:tplc="B8A87F34" w:tentative="1">
      <w:start w:val="1"/>
      <w:numFmt w:val="decimal"/>
      <w:lvlText w:val="%7."/>
      <w:lvlJc w:val="left"/>
      <w:pPr>
        <w:ind w:left="4680" w:hanging="360"/>
      </w:pPr>
    </w:lvl>
    <w:lvl w:ilvl="7" w:tplc="7E14473E" w:tentative="1">
      <w:start w:val="1"/>
      <w:numFmt w:val="lowerLetter"/>
      <w:lvlText w:val="%8."/>
      <w:lvlJc w:val="left"/>
      <w:pPr>
        <w:ind w:left="5400" w:hanging="360"/>
      </w:pPr>
    </w:lvl>
    <w:lvl w:ilvl="8" w:tplc="9E6615D0" w:tentative="1">
      <w:start w:val="1"/>
      <w:numFmt w:val="lowerRoman"/>
      <w:lvlText w:val="%9."/>
      <w:lvlJc w:val="right"/>
      <w:pPr>
        <w:ind w:left="6120" w:hanging="180"/>
      </w:pPr>
    </w:lvl>
  </w:abstractNum>
  <w:abstractNum w:abstractNumId="1" w15:restartNumberingAfterBreak="0">
    <w:nsid w:val="0967D5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D5DB7"/>
    <w:multiLevelType w:val="hybridMultilevel"/>
    <w:tmpl w:val="0FDA7ACC"/>
    <w:lvl w:ilvl="0" w:tplc="3E4A1F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77C6EE9"/>
    <w:multiLevelType w:val="multilevel"/>
    <w:tmpl w:val="431AB47C"/>
    <w:lvl w:ilvl="0">
      <w:start w:val="2"/>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70497793"/>
    <w:multiLevelType w:val="hybridMultilevel"/>
    <w:tmpl w:val="3BA699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3009142">
    <w:abstractNumId w:val="4"/>
  </w:num>
  <w:num w:numId="2" w16cid:durableId="823202416">
    <w:abstractNumId w:val="0"/>
  </w:num>
  <w:num w:numId="3" w16cid:durableId="2079860151">
    <w:abstractNumId w:val="2"/>
  </w:num>
  <w:num w:numId="4" w16cid:durableId="2083989667">
    <w:abstractNumId w:val="1"/>
  </w:num>
  <w:num w:numId="5" w16cid:durableId="1366712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ED"/>
    <w:rsid w:val="000C76CC"/>
    <w:rsid w:val="001660C0"/>
    <w:rsid w:val="0022167F"/>
    <w:rsid w:val="00397EED"/>
    <w:rsid w:val="00737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01A9"/>
  <w15:docId w15:val="{D01C4892-49DE-4B4B-8CC0-AED7F2E3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7379D9"/>
    <w:pPr>
      <w:ind w:left="720"/>
      <w:contextualSpacing/>
    </w:pPr>
  </w:style>
  <w:style w:type="paragraph" w:styleId="FootnoteText">
    <w:name w:val="footnote text"/>
    <w:basedOn w:val="Normal"/>
    <w:link w:val="FootnoteTextChar"/>
    <w:uiPriority w:val="99"/>
    <w:semiHidden/>
    <w:unhideWhenUsed/>
    <w:rsid w:val="007379D9"/>
    <w:pPr>
      <w:jc w:val="left"/>
    </w:pPr>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semiHidden/>
    <w:rsid w:val="007379D9"/>
    <w:rPr>
      <w:rFonts w:asciiTheme="minorHAnsi" w:eastAsiaTheme="minorHAnsi" w:hAnsiTheme="minorHAnsi" w:cstheme="minorBidi"/>
      <w:color w:val="auto"/>
      <w:sz w:val="20"/>
      <w:lang w:eastAsia="en-US"/>
    </w:rPr>
  </w:style>
  <w:style w:type="character" w:styleId="FootnoteReference">
    <w:name w:val="footnote reference"/>
    <w:basedOn w:val="DefaultParagraphFont"/>
    <w:uiPriority w:val="99"/>
    <w:semiHidden/>
    <w:unhideWhenUsed/>
    <w:rsid w:val="007379D9"/>
    <w:rPr>
      <w:vertAlign w:val="superscript"/>
    </w:rPr>
  </w:style>
  <w:style w:type="character" w:styleId="Hyperlink">
    <w:name w:val="Hyperlink"/>
    <w:basedOn w:val="DefaultParagraphFont"/>
    <w:uiPriority w:val="99"/>
    <w:unhideWhenUsed/>
    <w:rsid w:val="00737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tmed.zv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4</Pages>
  <Words>3799</Words>
  <Characters>2166</Characters>
  <Application>Microsoft Office Word</Application>
  <DocSecurity>0</DocSecurity>
  <Lines>18</Lines>
  <Paragraphs>11</Paragraphs>
  <ScaleCrop>false</ScaleCrop>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viedoklu_parskats_23-TA-1090.docx</dc:title>
  <dc:creator>Lāsma Kunkule</dc:creator>
  <cp:lastModifiedBy>Lāsma Kunkule</cp:lastModifiedBy>
  <cp:revision>5</cp:revision>
  <dcterms:created xsi:type="dcterms:W3CDTF">2023-06-20T06:25:00Z</dcterms:created>
  <dcterms:modified xsi:type="dcterms:W3CDTF">2023-06-27T11:34:00Z</dcterms:modified>
</cp:coreProperties>
</file>