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67DB9" w14:textId="77777777" w:rsidR="00DA4826" w:rsidRPr="0069405F" w:rsidRDefault="00DA4826" w:rsidP="00DA4826">
      <w:pPr>
        <w:rPr>
          <w:b/>
          <w:i/>
          <w:szCs w:val="24"/>
        </w:rPr>
      </w:pPr>
      <w:r w:rsidRPr="0069405F">
        <w:rPr>
          <w:sz w:val="26"/>
          <w:szCs w:val="26"/>
        </w:rPr>
        <w:t>Budžeta un finanšu (nodokļu) komisija</w:t>
      </w:r>
      <w:r w:rsidRPr="0069405F">
        <w:rPr>
          <w:sz w:val="26"/>
          <w:szCs w:val="26"/>
        </w:rPr>
        <w:tab/>
      </w:r>
    </w:p>
    <w:p w14:paraId="6221D322" w14:textId="77777777" w:rsidR="00DA4826" w:rsidRPr="0069405F" w:rsidRDefault="00DA4826" w:rsidP="00DA4826">
      <w:pPr>
        <w:jc w:val="right"/>
        <w:rPr>
          <w:sz w:val="26"/>
          <w:szCs w:val="26"/>
        </w:rPr>
      </w:pPr>
      <w:r w:rsidRPr="0069405F">
        <w:rPr>
          <w:sz w:val="26"/>
          <w:szCs w:val="26"/>
        </w:rPr>
        <w:t>Likumprojekts (steidzams) otrajam lasījumam</w:t>
      </w:r>
    </w:p>
    <w:p w14:paraId="46ADB0A5" w14:textId="77777777" w:rsidR="00DA4826" w:rsidRPr="0069405F" w:rsidRDefault="00DA4826" w:rsidP="00DA4826">
      <w:pPr>
        <w:pStyle w:val="naisvisr"/>
        <w:spacing w:before="0" w:beforeAutospacing="0" w:after="0" w:afterAutospacing="0"/>
        <w:jc w:val="center"/>
        <w:rPr>
          <w:b/>
          <w:sz w:val="26"/>
          <w:szCs w:val="26"/>
        </w:rPr>
      </w:pPr>
    </w:p>
    <w:p w14:paraId="292CAB94" w14:textId="77777777" w:rsidR="00DA4826" w:rsidRPr="0069405F" w:rsidRDefault="00DA4826" w:rsidP="00DA4826">
      <w:pPr>
        <w:pStyle w:val="paragraphheader"/>
        <w:spacing w:before="0" w:after="0"/>
        <w:contextualSpacing w:val="0"/>
        <w:jc w:val="center"/>
        <w:rPr>
          <w:b/>
          <w:color w:val="auto"/>
        </w:rPr>
      </w:pPr>
      <w:r w:rsidRPr="0069405F">
        <w:rPr>
          <w:b/>
          <w:color w:val="auto"/>
        </w:rPr>
        <w:t>Grozījumi Sociālo pakalpojumu un sociālās palīdzības likumā</w:t>
      </w:r>
    </w:p>
    <w:p w14:paraId="12E17921" w14:textId="703EB616" w:rsidR="00DA4826" w:rsidRPr="0069405F" w:rsidRDefault="00DA4826" w:rsidP="00DA4826">
      <w:pPr>
        <w:jc w:val="center"/>
        <w:rPr>
          <w:rStyle w:val="Emphasis"/>
          <w:b/>
          <w:sz w:val="26"/>
          <w:szCs w:val="26"/>
        </w:rPr>
      </w:pPr>
      <w:r w:rsidRPr="0069405F">
        <w:rPr>
          <w:rStyle w:val="Emphasis"/>
          <w:b/>
          <w:sz w:val="26"/>
          <w:szCs w:val="26"/>
        </w:rPr>
        <w:t>(Nr.753/Lp14)</w:t>
      </w:r>
    </w:p>
    <w:p w14:paraId="6EF09105" w14:textId="77777777" w:rsidR="00DA4826" w:rsidRPr="0069405F" w:rsidRDefault="00DA4826" w:rsidP="00DA4826">
      <w:pPr>
        <w:jc w:val="center"/>
        <w:rPr>
          <w:rStyle w:val="Emphasi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3742"/>
        <w:gridCol w:w="566"/>
        <w:gridCol w:w="3742"/>
        <w:gridCol w:w="1417"/>
        <w:gridCol w:w="1417"/>
      </w:tblGrid>
      <w:tr w:rsidR="0069405F" w:rsidRPr="0069405F" w14:paraId="545636E3" w14:textId="77777777" w:rsidTr="0069405F">
        <w:tc>
          <w:tcPr>
            <w:tcW w:w="3742" w:type="dxa"/>
            <w:shd w:val="clear" w:color="auto" w:fill="auto"/>
            <w:vAlign w:val="center"/>
          </w:tcPr>
          <w:p w14:paraId="1DF86933" w14:textId="77777777" w:rsidR="00DA4826" w:rsidRPr="0069405F" w:rsidRDefault="00DA4826" w:rsidP="00B85605">
            <w:pPr>
              <w:jc w:val="center"/>
              <w:rPr>
                <w:b/>
                <w:bCs/>
                <w:iCs/>
                <w:szCs w:val="24"/>
              </w:rPr>
            </w:pPr>
            <w:r w:rsidRPr="0069405F">
              <w:rPr>
                <w:b/>
                <w:bCs/>
                <w:iCs/>
                <w:szCs w:val="24"/>
              </w:rPr>
              <w:t>Spēkā esošā redakcija</w:t>
            </w:r>
          </w:p>
        </w:tc>
        <w:tc>
          <w:tcPr>
            <w:tcW w:w="3742" w:type="dxa"/>
            <w:shd w:val="clear" w:color="auto" w:fill="auto"/>
            <w:vAlign w:val="center"/>
          </w:tcPr>
          <w:p w14:paraId="5DE89115" w14:textId="77777777" w:rsidR="00DA4826" w:rsidRPr="0069405F" w:rsidRDefault="00DA4826" w:rsidP="00B85605">
            <w:pPr>
              <w:jc w:val="center"/>
              <w:rPr>
                <w:b/>
                <w:szCs w:val="24"/>
              </w:rPr>
            </w:pPr>
            <w:r w:rsidRPr="0069405F">
              <w:rPr>
                <w:b/>
                <w:szCs w:val="24"/>
              </w:rPr>
              <w:t>Pirmā lasījuma redakcija</w:t>
            </w:r>
          </w:p>
        </w:tc>
        <w:tc>
          <w:tcPr>
            <w:tcW w:w="566" w:type="dxa"/>
            <w:vAlign w:val="center"/>
          </w:tcPr>
          <w:p w14:paraId="3E12BE60" w14:textId="77777777" w:rsidR="00DA4826" w:rsidRPr="0069405F" w:rsidRDefault="00DA4826" w:rsidP="0069405F">
            <w:pPr>
              <w:jc w:val="center"/>
              <w:rPr>
                <w:b/>
                <w:szCs w:val="24"/>
              </w:rPr>
            </w:pPr>
            <w:r w:rsidRPr="0069405F">
              <w:rPr>
                <w:b/>
                <w:szCs w:val="24"/>
              </w:rPr>
              <w:t>Nr.</w:t>
            </w:r>
          </w:p>
        </w:tc>
        <w:tc>
          <w:tcPr>
            <w:tcW w:w="3742" w:type="dxa"/>
            <w:vAlign w:val="center"/>
          </w:tcPr>
          <w:p w14:paraId="701E4A5B" w14:textId="77777777" w:rsidR="00DA4826" w:rsidRPr="0069405F" w:rsidRDefault="00DA4826" w:rsidP="00B85605">
            <w:pPr>
              <w:jc w:val="center"/>
              <w:rPr>
                <w:b/>
                <w:szCs w:val="24"/>
              </w:rPr>
            </w:pPr>
            <w:r w:rsidRPr="0069405F">
              <w:rPr>
                <w:b/>
                <w:szCs w:val="24"/>
              </w:rPr>
              <w:t>Priekšlikumi</w:t>
            </w:r>
          </w:p>
          <w:p w14:paraId="55176AF6" w14:textId="7014445F" w:rsidR="00DA4826" w:rsidRPr="0069405F" w:rsidRDefault="00DA4826" w:rsidP="00B85605">
            <w:pPr>
              <w:jc w:val="center"/>
              <w:rPr>
                <w:b/>
                <w:szCs w:val="24"/>
              </w:rPr>
            </w:pPr>
            <w:r w:rsidRPr="0069405F">
              <w:rPr>
                <w:b/>
                <w:szCs w:val="24"/>
              </w:rPr>
              <w:t>(</w:t>
            </w:r>
            <w:r w:rsidR="00A52812" w:rsidRPr="0069405F">
              <w:rPr>
                <w:b/>
                <w:szCs w:val="24"/>
              </w:rPr>
              <w:t>3</w:t>
            </w:r>
            <w:r w:rsidRPr="0069405F">
              <w:rPr>
                <w:b/>
                <w:szCs w:val="24"/>
              </w:rPr>
              <w:t>)</w:t>
            </w:r>
          </w:p>
        </w:tc>
        <w:tc>
          <w:tcPr>
            <w:tcW w:w="1417" w:type="dxa"/>
            <w:vAlign w:val="center"/>
          </w:tcPr>
          <w:p w14:paraId="7E6F3A67" w14:textId="77777777" w:rsidR="00DA4826" w:rsidRPr="0069405F" w:rsidRDefault="00DA4826" w:rsidP="00B85605">
            <w:pPr>
              <w:jc w:val="center"/>
              <w:rPr>
                <w:b/>
                <w:szCs w:val="24"/>
              </w:rPr>
            </w:pPr>
            <w:r w:rsidRPr="0069405F">
              <w:rPr>
                <w:b/>
                <w:szCs w:val="24"/>
              </w:rPr>
              <w:t>Ministru kabineta atzinums</w:t>
            </w:r>
          </w:p>
        </w:tc>
        <w:tc>
          <w:tcPr>
            <w:tcW w:w="1417" w:type="dxa"/>
            <w:vAlign w:val="center"/>
          </w:tcPr>
          <w:p w14:paraId="0C2075DC" w14:textId="77777777" w:rsidR="00DA4826" w:rsidRPr="0069405F" w:rsidRDefault="00DA4826" w:rsidP="00B85605">
            <w:pPr>
              <w:jc w:val="center"/>
              <w:rPr>
                <w:b/>
                <w:szCs w:val="24"/>
              </w:rPr>
            </w:pPr>
            <w:r w:rsidRPr="0069405F">
              <w:rPr>
                <w:b/>
                <w:szCs w:val="24"/>
              </w:rPr>
              <w:t>Komisijas atzinums</w:t>
            </w:r>
          </w:p>
        </w:tc>
      </w:tr>
      <w:tr w:rsidR="0069405F" w:rsidRPr="0069405F" w14:paraId="608E46E6" w14:textId="77777777" w:rsidTr="00A52812">
        <w:tc>
          <w:tcPr>
            <w:tcW w:w="3742" w:type="dxa"/>
            <w:shd w:val="clear" w:color="auto" w:fill="auto"/>
            <w:vAlign w:val="center"/>
          </w:tcPr>
          <w:p w14:paraId="0A8484A0" w14:textId="77777777" w:rsidR="00DA4826" w:rsidRPr="0069405F" w:rsidRDefault="00DA4826" w:rsidP="00B85605">
            <w:pPr>
              <w:jc w:val="center"/>
              <w:rPr>
                <w:b/>
                <w:bCs/>
                <w:iCs/>
                <w:szCs w:val="24"/>
              </w:rPr>
            </w:pPr>
          </w:p>
        </w:tc>
        <w:tc>
          <w:tcPr>
            <w:tcW w:w="3742" w:type="dxa"/>
            <w:shd w:val="clear" w:color="auto" w:fill="auto"/>
            <w:vAlign w:val="center"/>
          </w:tcPr>
          <w:p w14:paraId="18E09FA8" w14:textId="43776F69" w:rsidR="00DA4826" w:rsidRPr="0069405F" w:rsidRDefault="00DA4826" w:rsidP="00DA4826">
            <w:pPr>
              <w:pStyle w:val="paragraph"/>
              <w:ind w:firstLine="567"/>
              <w:contextualSpacing w:val="0"/>
              <w:rPr>
                <w:color w:val="auto"/>
                <w:sz w:val="22"/>
                <w:szCs w:val="22"/>
              </w:rPr>
            </w:pPr>
            <w:r w:rsidRPr="0069405F">
              <w:rPr>
                <w:color w:val="auto"/>
                <w:sz w:val="22"/>
                <w:szCs w:val="22"/>
              </w:rPr>
              <w:t>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2023, 57.A, 201., 247. nr.; 2024, 44.A, 93.A nr.) šādus grozījumus:</w:t>
            </w:r>
          </w:p>
        </w:tc>
        <w:tc>
          <w:tcPr>
            <w:tcW w:w="566" w:type="dxa"/>
          </w:tcPr>
          <w:p w14:paraId="7C59A5FA" w14:textId="77777777" w:rsidR="00DA4826" w:rsidRPr="0069405F" w:rsidRDefault="00DA4826" w:rsidP="00A52812">
            <w:pPr>
              <w:jc w:val="center"/>
              <w:rPr>
                <w:b/>
                <w:sz w:val="22"/>
              </w:rPr>
            </w:pPr>
          </w:p>
        </w:tc>
        <w:tc>
          <w:tcPr>
            <w:tcW w:w="3742" w:type="dxa"/>
            <w:vAlign w:val="center"/>
          </w:tcPr>
          <w:p w14:paraId="16415FA2" w14:textId="77777777" w:rsidR="00DA4826" w:rsidRPr="0069405F" w:rsidRDefault="00DA4826" w:rsidP="00B85605">
            <w:pPr>
              <w:jc w:val="center"/>
              <w:rPr>
                <w:b/>
                <w:szCs w:val="24"/>
              </w:rPr>
            </w:pPr>
          </w:p>
        </w:tc>
        <w:tc>
          <w:tcPr>
            <w:tcW w:w="1417" w:type="dxa"/>
            <w:vAlign w:val="center"/>
          </w:tcPr>
          <w:p w14:paraId="64FE8E69" w14:textId="77777777" w:rsidR="00DA4826" w:rsidRPr="0069405F" w:rsidRDefault="00DA4826" w:rsidP="00B85605">
            <w:pPr>
              <w:jc w:val="center"/>
              <w:rPr>
                <w:b/>
                <w:szCs w:val="24"/>
              </w:rPr>
            </w:pPr>
          </w:p>
        </w:tc>
        <w:tc>
          <w:tcPr>
            <w:tcW w:w="1417" w:type="dxa"/>
            <w:vAlign w:val="center"/>
          </w:tcPr>
          <w:p w14:paraId="14AA33B4" w14:textId="77777777" w:rsidR="00DA4826" w:rsidRPr="0069405F" w:rsidRDefault="00DA4826" w:rsidP="00B85605">
            <w:pPr>
              <w:jc w:val="center"/>
              <w:rPr>
                <w:b/>
                <w:szCs w:val="24"/>
              </w:rPr>
            </w:pPr>
          </w:p>
        </w:tc>
      </w:tr>
      <w:tr w:rsidR="0069405F" w:rsidRPr="0069405F" w14:paraId="657858D4" w14:textId="77777777" w:rsidTr="00A52812">
        <w:tc>
          <w:tcPr>
            <w:tcW w:w="3742" w:type="dxa"/>
            <w:shd w:val="clear" w:color="auto" w:fill="auto"/>
          </w:tcPr>
          <w:p w14:paraId="1C7DC2D5" w14:textId="77777777" w:rsidR="00DA4826" w:rsidRPr="0069405F" w:rsidRDefault="00DA4826" w:rsidP="00DA4826">
            <w:pPr>
              <w:pStyle w:val="tv213"/>
              <w:spacing w:before="0" w:beforeAutospacing="0" w:after="0" w:afterAutospacing="0"/>
              <w:ind w:firstLine="567"/>
              <w:jc w:val="both"/>
              <w:rPr>
                <w:b/>
                <w:bCs/>
                <w:sz w:val="22"/>
                <w:szCs w:val="22"/>
              </w:rPr>
            </w:pPr>
            <w:r w:rsidRPr="0069405F">
              <w:rPr>
                <w:b/>
                <w:bCs/>
                <w:sz w:val="22"/>
                <w:szCs w:val="22"/>
              </w:rPr>
              <w:t>13. pants. Valsts pienākumi sociālo pakalpojumu un sociālās palīdzības sniegšanā</w:t>
            </w:r>
          </w:p>
          <w:p w14:paraId="1EB72C0B" w14:textId="77777777" w:rsidR="00DA4826" w:rsidRPr="0069405F" w:rsidRDefault="00DA4826" w:rsidP="00DA4826">
            <w:pPr>
              <w:pStyle w:val="tv213"/>
              <w:spacing w:before="0" w:beforeAutospacing="0" w:after="0" w:afterAutospacing="0"/>
              <w:ind w:firstLine="567"/>
              <w:jc w:val="both"/>
              <w:rPr>
                <w:sz w:val="22"/>
                <w:szCs w:val="22"/>
              </w:rPr>
            </w:pPr>
            <w:r w:rsidRPr="0069405F">
              <w:rPr>
                <w:sz w:val="22"/>
                <w:szCs w:val="22"/>
              </w:rPr>
              <w:t>(1) Valsts nodrošina atbilstoši gadskārtējā valsts budžeta likumā piešķirtajiem līdzekļiem:</w:t>
            </w:r>
          </w:p>
          <w:p w14:paraId="14453C69" w14:textId="13FFA6CC" w:rsidR="00DA4826" w:rsidRPr="0069405F" w:rsidRDefault="00DA4826" w:rsidP="00DA4826">
            <w:pPr>
              <w:pStyle w:val="tv213"/>
              <w:spacing w:before="0" w:beforeAutospacing="0" w:after="0" w:afterAutospacing="0"/>
              <w:ind w:firstLine="567"/>
              <w:jc w:val="both"/>
              <w:rPr>
                <w:sz w:val="22"/>
                <w:szCs w:val="22"/>
              </w:rPr>
            </w:pPr>
            <w:r w:rsidRPr="0069405F">
              <w:rPr>
                <w:sz w:val="22"/>
                <w:szCs w:val="22"/>
              </w:rPr>
              <w:t xml:space="preserve">15) atbalstu pašvaldībām, kuras nodrošina pakalpojumus un atbalstu šā likuma 12. panta septītajā daļā </w:t>
            </w:r>
            <w:r w:rsidRPr="0069405F">
              <w:rPr>
                <w:sz w:val="22"/>
                <w:szCs w:val="22"/>
              </w:rPr>
              <w:lastRenderedPageBreak/>
              <w:t>minētajām ārpusģimenes aprūpē bijušajām personām un astotajā daļā minētajām personām. Ministru kabinets nosaka valsts atbalsta apmēru, kritērijus tā noteikšanai un valsts atbalsta piešķiršanas kārtību.</w:t>
            </w:r>
          </w:p>
        </w:tc>
        <w:tc>
          <w:tcPr>
            <w:tcW w:w="3742" w:type="dxa"/>
            <w:shd w:val="clear" w:color="auto" w:fill="auto"/>
            <w:vAlign w:val="center"/>
          </w:tcPr>
          <w:p w14:paraId="21E700CD" w14:textId="77777777" w:rsidR="00DA4826" w:rsidRPr="0069405F" w:rsidRDefault="00DA4826" w:rsidP="00DA4826">
            <w:pPr>
              <w:pStyle w:val="paragraph"/>
              <w:ind w:firstLine="567"/>
              <w:contextualSpacing w:val="0"/>
              <w:rPr>
                <w:color w:val="auto"/>
                <w:sz w:val="22"/>
                <w:szCs w:val="22"/>
              </w:rPr>
            </w:pPr>
            <w:r w:rsidRPr="0069405F">
              <w:rPr>
                <w:color w:val="auto"/>
                <w:sz w:val="22"/>
                <w:szCs w:val="22"/>
              </w:rPr>
              <w:lastRenderedPageBreak/>
              <w:t>1. 13. pantā:</w:t>
            </w:r>
          </w:p>
          <w:p w14:paraId="36167A43" w14:textId="77777777" w:rsidR="00DA4826" w:rsidRPr="0069405F" w:rsidRDefault="00DA4826" w:rsidP="00DA4826">
            <w:pPr>
              <w:ind w:firstLine="567"/>
              <w:jc w:val="both"/>
              <w:rPr>
                <w:sz w:val="22"/>
              </w:rPr>
            </w:pPr>
            <w:r w:rsidRPr="0069405F">
              <w:rPr>
                <w:sz w:val="22"/>
              </w:rPr>
              <w:t>papildināt pirmo daļu ar 16. punktu šādā redakcijā:</w:t>
            </w:r>
          </w:p>
          <w:p w14:paraId="79A0A8A9" w14:textId="0B67C4FC" w:rsidR="00DA4826" w:rsidRPr="0069405F" w:rsidRDefault="00DA4826" w:rsidP="00DA4826">
            <w:pPr>
              <w:ind w:firstLine="567"/>
              <w:jc w:val="both"/>
              <w:rPr>
                <w:sz w:val="22"/>
              </w:rPr>
            </w:pPr>
            <w:r w:rsidRPr="0069405F">
              <w:rPr>
                <w:sz w:val="22"/>
              </w:rPr>
              <w:t xml:space="preserve">"16) psihosociālo rehabilitāciju bērniem ar autiskā spektra traucējumiem un viņu ģimenes locekļiem. Pakalpojuma apjomu, saturu, saņemšanas, piešķiršanas, finansēšanas, pārtraukšanas un izbeigšanas </w:t>
            </w:r>
            <w:r w:rsidRPr="0069405F">
              <w:rPr>
                <w:sz w:val="22"/>
              </w:rPr>
              <w:lastRenderedPageBreak/>
              <w:t>nosacījumus un kārtību nosaka Ministru kabinets.";</w:t>
            </w:r>
          </w:p>
        </w:tc>
        <w:tc>
          <w:tcPr>
            <w:tcW w:w="566" w:type="dxa"/>
          </w:tcPr>
          <w:p w14:paraId="237363C4" w14:textId="77777777" w:rsidR="00DA4826" w:rsidRPr="0069405F" w:rsidRDefault="00DA4826" w:rsidP="00A52812">
            <w:pPr>
              <w:jc w:val="center"/>
              <w:rPr>
                <w:b/>
                <w:sz w:val="22"/>
              </w:rPr>
            </w:pPr>
          </w:p>
        </w:tc>
        <w:tc>
          <w:tcPr>
            <w:tcW w:w="3742" w:type="dxa"/>
            <w:vAlign w:val="center"/>
          </w:tcPr>
          <w:p w14:paraId="1CC72029" w14:textId="77777777" w:rsidR="00DA4826" w:rsidRPr="0069405F" w:rsidRDefault="00DA4826" w:rsidP="00B85605">
            <w:pPr>
              <w:jc w:val="center"/>
              <w:rPr>
                <w:b/>
                <w:szCs w:val="24"/>
              </w:rPr>
            </w:pPr>
          </w:p>
        </w:tc>
        <w:tc>
          <w:tcPr>
            <w:tcW w:w="1417" w:type="dxa"/>
            <w:vAlign w:val="center"/>
          </w:tcPr>
          <w:p w14:paraId="1E298316" w14:textId="77777777" w:rsidR="00DA4826" w:rsidRPr="0069405F" w:rsidRDefault="00DA4826" w:rsidP="00B85605">
            <w:pPr>
              <w:jc w:val="center"/>
              <w:rPr>
                <w:b/>
                <w:szCs w:val="24"/>
              </w:rPr>
            </w:pPr>
          </w:p>
        </w:tc>
        <w:tc>
          <w:tcPr>
            <w:tcW w:w="1417" w:type="dxa"/>
            <w:vAlign w:val="center"/>
          </w:tcPr>
          <w:p w14:paraId="3996B3B1" w14:textId="77777777" w:rsidR="00DA4826" w:rsidRPr="0069405F" w:rsidRDefault="00DA4826" w:rsidP="00B85605">
            <w:pPr>
              <w:jc w:val="center"/>
              <w:rPr>
                <w:b/>
                <w:szCs w:val="24"/>
              </w:rPr>
            </w:pPr>
          </w:p>
        </w:tc>
      </w:tr>
      <w:tr w:rsidR="0069405F" w:rsidRPr="0069405F" w14:paraId="60044E6B" w14:textId="77777777" w:rsidTr="00F56307">
        <w:tc>
          <w:tcPr>
            <w:tcW w:w="3742" w:type="dxa"/>
            <w:shd w:val="clear" w:color="auto" w:fill="auto"/>
          </w:tcPr>
          <w:p w14:paraId="54F49A73" w14:textId="5CD49DDC" w:rsidR="00DA4826" w:rsidRPr="0069405F" w:rsidRDefault="00DA4826" w:rsidP="001C365A">
            <w:pPr>
              <w:pStyle w:val="tv213"/>
              <w:spacing w:before="0" w:beforeAutospacing="0" w:after="0" w:afterAutospacing="0"/>
              <w:ind w:firstLine="567"/>
              <w:jc w:val="both"/>
              <w:rPr>
                <w:sz w:val="22"/>
                <w:szCs w:val="22"/>
              </w:rPr>
            </w:pPr>
            <w:r w:rsidRPr="0069405F">
              <w:rPr>
                <w:sz w:val="22"/>
                <w:szCs w:val="22"/>
              </w:rPr>
              <w:t>(2</w:t>
            </w:r>
            <w:r w:rsidRPr="0069405F">
              <w:rPr>
                <w:sz w:val="22"/>
                <w:szCs w:val="22"/>
                <w:vertAlign w:val="superscript"/>
              </w:rPr>
              <w:t>1</w:t>
            </w:r>
            <w:r w:rsidRPr="0069405F">
              <w:rPr>
                <w:sz w:val="22"/>
                <w:szCs w:val="22"/>
              </w:rPr>
              <w:t xml:space="preserve">) Šā panta pirmajā daļā paredzēto valsts pienākumu izpildi — tās 2. punktā noteikto pakalpojumu sniegšanu — nodrošina Latvijas Neredzīgo biedrība un Latvijas Nedzirdīgo savienība; tās 4. punktā noteiktos sociālās rehabilitācijas pakalpojumus bērniem, kuriem ir izveidojusies atkarība no narkotiskajām, toksiskajām vai citām apreibinošām vielām vai no atkarību izraisošiem procesiem, kā arī šo pakalpojumu sniegšanu dzīvesvietā — nodrošina sabiedrība ar ierobežotu atbildību "Bērnu un pusaudžu resursu centrs"; tās 5.punktā noteikto tehnisko palīglīdzekļu pakalpojumu sniegšanu — tiflotehniku un surdotehniku — nodrošina Latvijas Neredzīgo biedrība un Latvijas Nedzirdīgo savienība; tās 12.punktā noteikto psihosociālo rehabilitāciju personām ar onkoloģisku slimību nodrošina biedrība "Dzīvības koks"; tās 12.punktā noteikto psihosociālo rehabilitāciju paliatīvā aprūpē esošiem bērniem nodrošina Bērnu paliatīvās aprūpes biedrība; tās 14. punktā noteikto atbalsta personas lēmumu pieņemšanā pakalpojumu nodrošina biedrība "Resursu centrs cilvēkiem ar garīgiem </w:t>
            </w:r>
            <w:r w:rsidRPr="0069405F">
              <w:rPr>
                <w:sz w:val="22"/>
                <w:szCs w:val="22"/>
              </w:rPr>
              <w:lastRenderedPageBreak/>
              <w:t>traucējumiem "ZELDA"". Šā panta 1.</w:t>
            </w:r>
            <w:r w:rsidRPr="0069405F">
              <w:rPr>
                <w:sz w:val="22"/>
                <w:szCs w:val="22"/>
                <w:vertAlign w:val="superscript"/>
              </w:rPr>
              <w:t>2</w:t>
            </w:r>
            <w:r w:rsidRPr="0069405F">
              <w:rPr>
                <w:sz w:val="22"/>
                <w:szCs w:val="22"/>
              </w:rPr>
              <w:t xml:space="preserve"> daļā noteiktos pakalpojumus nodrošina Latvijas Bērnu fonds, organizējot sociālās rehabilitācijas pakalpojumu sniegšanu un sniedzot tos tādos nodibinājumos, no kuru dibinātājiem vismaz viens ir Latvijas Bērnu fonds. Ja nepieciešams, Latvijas Neredzīgo biedrība, Latvijas Nedzirdīgo savienība, biedrība "Resursu centrs cilvēkiem ar garīgiem traucējumiem "ZELDA"", sabiedrība ar ierobežotu atbildību "Bērnu un pusaudžu resursu centrs" un Latvijas Bērnu fonds, kā arī biedrība "Dzīvības koks" un Bērnu paliatīvās aprūpes biedrība izvēlas arī citus pakalpojumu sniedzējus publiskos iepirkumus regulējošos normatīvajos aktos noteiktajā kārtībā.</w:t>
            </w:r>
          </w:p>
        </w:tc>
        <w:tc>
          <w:tcPr>
            <w:tcW w:w="3742" w:type="dxa"/>
            <w:shd w:val="clear" w:color="auto" w:fill="auto"/>
          </w:tcPr>
          <w:p w14:paraId="00873EC0" w14:textId="5962DFBF" w:rsidR="00DA4826" w:rsidRPr="0069405F" w:rsidRDefault="00DA4826" w:rsidP="004D5355">
            <w:pPr>
              <w:ind w:firstLine="567"/>
              <w:jc w:val="both"/>
              <w:rPr>
                <w:sz w:val="22"/>
              </w:rPr>
            </w:pPr>
            <w:r w:rsidRPr="0069405F">
              <w:rPr>
                <w:sz w:val="22"/>
              </w:rPr>
              <w:lastRenderedPageBreak/>
              <w:t>aizstāt 2.</w:t>
            </w:r>
            <w:r w:rsidRPr="0069405F">
              <w:rPr>
                <w:sz w:val="22"/>
                <w:vertAlign w:val="superscript"/>
              </w:rPr>
              <w:t>1</w:t>
            </w:r>
            <w:r w:rsidRPr="0069405F">
              <w:rPr>
                <w:sz w:val="22"/>
              </w:rPr>
              <w:t xml:space="preserve"> daļas pirmajā teikumā vārdus un skaitli "tās 14. punktā noteikto atbalsta personas lēmumu pieņemšanā pakalpojumu nodrošina biedrība "Resursu centrs cilvēkiem ar garīgiem traucējumiem "ZELDA""" ar vārdiem un skaitļiem "tās 14. punktā noteikto atbalsta personas lēmumu pieņemšanā pakalpojumu nodrošina biedrība "Resursu centrs cilvēkiem ar garīgiem traucējumiem "ZELDA""; tās 16. punktā noteikto psihosociālo rehabilitāciju uzturošās terapijas veidā bērniem no diviem gadiem līdz septiņu gadu vecuma sasniegšanai pēc autisma diagnosticēšanas vai aizdomām par autiskā spektra traucējumiem un ārstniecības iestādē saņemtas agrīnās intervences programmas nodrošina nodibinājums "Bērnu slimnīcas fonds"; tās 16. punktā noteikto psihosociālo rehabilitāciju bērniem ar autiskā spektra traucējumiem no diviem gadiem līdz 18 gadu vecuma sasniegšanai, kuriem </w:t>
            </w:r>
            <w:r w:rsidRPr="0069405F">
              <w:rPr>
                <w:sz w:val="22"/>
                <w:u w:val="single"/>
              </w:rPr>
              <w:t>Veselības un darbspēju ekspertīzes ārstu valsts komisija</w:t>
            </w:r>
            <w:r w:rsidRPr="0069405F">
              <w:rPr>
                <w:sz w:val="22"/>
              </w:rPr>
              <w:t xml:space="preserve"> ir noteikusi invaliditāti, un viņu ģimenes locekļiem nodrošina biedrība "Latvijas Autisma apvienība"";</w:t>
            </w:r>
          </w:p>
          <w:p w14:paraId="27DE110E" w14:textId="77777777" w:rsidR="00DA4826" w:rsidRPr="0069405F" w:rsidRDefault="00DA4826" w:rsidP="004D5355">
            <w:pPr>
              <w:ind w:firstLine="567"/>
              <w:jc w:val="both"/>
              <w:rPr>
                <w:sz w:val="22"/>
              </w:rPr>
            </w:pPr>
          </w:p>
          <w:p w14:paraId="1ED78894" w14:textId="5F7F0B36" w:rsidR="00DA4826" w:rsidRPr="0069405F" w:rsidRDefault="00DA4826" w:rsidP="004D5355">
            <w:pPr>
              <w:ind w:firstLine="567"/>
              <w:jc w:val="both"/>
              <w:rPr>
                <w:sz w:val="22"/>
              </w:rPr>
            </w:pPr>
            <w:r w:rsidRPr="0069405F">
              <w:rPr>
                <w:sz w:val="22"/>
              </w:rPr>
              <w:lastRenderedPageBreak/>
              <w:t>aizstāt 2.</w:t>
            </w:r>
            <w:r w:rsidRPr="0069405F">
              <w:rPr>
                <w:sz w:val="22"/>
                <w:vertAlign w:val="superscript"/>
              </w:rPr>
              <w:t>1</w:t>
            </w:r>
            <w:r w:rsidRPr="0069405F">
              <w:rPr>
                <w:sz w:val="22"/>
              </w:rPr>
              <w:t xml:space="preserve"> daļas trešajā teikumā vārdus "un Bērnu paliatīvās aprūpes biedrība" ar vārdiem "Bērnu paliatīvās aprūpes biedrība, nodibinājums "Bērnu slimnīcas fonds" un biedrība "Latvijas Autisma apvienība"";</w:t>
            </w:r>
          </w:p>
        </w:tc>
        <w:tc>
          <w:tcPr>
            <w:tcW w:w="566" w:type="dxa"/>
          </w:tcPr>
          <w:p w14:paraId="4D9F4F9C" w14:textId="2AFB4017" w:rsidR="00DA4826" w:rsidRPr="0069405F" w:rsidRDefault="00A52812" w:rsidP="00A52812">
            <w:pPr>
              <w:jc w:val="center"/>
              <w:rPr>
                <w:b/>
                <w:sz w:val="22"/>
              </w:rPr>
            </w:pPr>
            <w:r w:rsidRPr="0069405F">
              <w:rPr>
                <w:b/>
                <w:sz w:val="22"/>
              </w:rPr>
              <w:lastRenderedPageBreak/>
              <w:t>1</w:t>
            </w:r>
          </w:p>
        </w:tc>
        <w:tc>
          <w:tcPr>
            <w:tcW w:w="3742" w:type="dxa"/>
          </w:tcPr>
          <w:p w14:paraId="4FB09ACE" w14:textId="77777777" w:rsidR="00DA4826" w:rsidRPr="0069405F" w:rsidRDefault="004D5355" w:rsidP="004D5355">
            <w:pPr>
              <w:ind w:firstLine="567"/>
              <w:jc w:val="both"/>
              <w:rPr>
                <w:b/>
                <w:sz w:val="22"/>
                <w:u w:val="single"/>
              </w:rPr>
            </w:pPr>
            <w:r w:rsidRPr="0069405F">
              <w:rPr>
                <w:b/>
                <w:sz w:val="22"/>
                <w:u w:val="single"/>
              </w:rPr>
              <w:t>Juridiskais birojs</w:t>
            </w:r>
          </w:p>
          <w:p w14:paraId="3D6B381A" w14:textId="6D53DF5E" w:rsidR="004D5355" w:rsidRPr="0069405F" w:rsidRDefault="004D5355" w:rsidP="004D5355">
            <w:pPr>
              <w:ind w:firstLine="567"/>
              <w:jc w:val="both"/>
              <w:rPr>
                <w:sz w:val="22"/>
              </w:rPr>
            </w:pPr>
            <w:r w:rsidRPr="0069405F">
              <w:rPr>
                <w:sz w:val="22"/>
              </w:rPr>
              <w:t>Papildināt likumprojekta 1. pantu pēc vārdiem “Veselības un darbspēju ekspertīzes ārstu valsts komisija” ar vārdiem “</w:t>
            </w:r>
            <w:r w:rsidRPr="0069405F">
              <w:rPr>
                <w:sz w:val="22"/>
                <w:u w:val="single"/>
              </w:rPr>
              <w:t>(turpmāk – Valsts komisija)</w:t>
            </w:r>
            <w:r w:rsidRPr="0069405F">
              <w:rPr>
                <w:sz w:val="22"/>
              </w:rPr>
              <w:t>”.</w:t>
            </w:r>
          </w:p>
          <w:p w14:paraId="73BDF633" w14:textId="5144990E" w:rsidR="004D5355" w:rsidRPr="0069405F" w:rsidRDefault="004D5355" w:rsidP="004D5355">
            <w:pPr>
              <w:ind w:firstLine="567"/>
              <w:jc w:val="both"/>
              <w:rPr>
                <w:b/>
                <w:sz w:val="22"/>
                <w:u w:val="single"/>
              </w:rPr>
            </w:pPr>
          </w:p>
        </w:tc>
        <w:tc>
          <w:tcPr>
            <w:tcW w:w="1417" w:type="dxa"/>
          </w:tcPr>
          <w:p w14:paraId="599AFD42" w14:textId="5603AE52" w:rsidR="00DA4826" w:rsidRPr="0069405F" w:rsidRDefault="00E37A0A" w:rsidP="00F56307">
            <w:pPr>
              <w:jc w:val="center"/>
              <w:rPr>
                <w:b/>
                <w:sz w:val="22"/>
              </w:rPr>
            </w:pPr>
            <w:r>
              <w:rPr>
                <w:b/>
                <w:sz w:val="22"/>
              </w:rPr>
              <w:t>Atbalstīt</w:t>
            </w:r>
          </w:p>
        </w:tc>
        <w:tc>
          <w:tcPr>
            <w:tcW w:w="1417" w:type="dxa"/>
            <w:vAlign w:val="center"/>
          </w:tcPr>
          <w:p w14:paraId="29F2BB33" w14:textId="77777777" w:rsidR="00DA4826" w:rsidRPr="0069405F" w:rsidRDefault="00DA4826" w:rsidP="00B85605">
            <w:pPr>
              <w:jc w:val="center"/>
              <w:rPr>
                <w:b/>
                <w:szCs w:val="24"/>
              </w:rPr>
            </w:pPr>
          </w:p>
        </w:tc>
      </w:tr>
      <w:tr w:rsidR="0069405F" w:rsidRPr="0069405F" w14:paraId="1C7DC386" w14:textId="77777777" w:rsidTr="00A52812">
        <w:tc>
          <w:tcPr>
            <w:tcW w:w="3742" w:type="dxa"/>
            <w:shd w:val="clear" w:color="auto" w:fill="auto"/>
          </w:tcPr>
          <w:p w14:paraId="22BF0A57" w14:textId="2EE86EEE" w:rsidR="00DA4826" w:rsidRPr="0069405F" w:rsidRDefault="00DA4826" w:rsidP="00DA4826">
            <w:pPr>
              <w:ind w:firstLine="567"/>
              <w:jc w:val="both"/>
              <w:rPr>
                <w:b/>
                <w:bCs/>
                <w:iCs/>
                <w:sz w:val="22"/>
              </w:rPr>
            </w:pPr>
            <w:r w:rsidRPr="0069405F">
              <w:rPr>
                <w:sz w:val="22"/>
              </w:rPr>
              <w:t>(2</w:t>
            </w:r>
            <w:r w:rsidRPr="0069405F">
              <w:rPr>
                <w:sz w:val="22"/>
                <w:vertAlign w:val="superscript"/>
              </w:rPr>
              <w:t>3</w:t>
            </w:r>
            <w:r w:rsidRPr="0069405F">
              <w:rPr>
                <w:sz w:val="22"/>
              </w:rPr>
              <w:t>) Īstenojot šā panta 2.</w:t>
            </w:r>
            <w:r w:rsidRPr="0069405F">
              <w:rPr>
                <w:sz w:val="22"/>
                <w:vertAlign w:val="superscript"/>
              </w:rPr>
              <w:t>1</w:t>
            </w:r>
            <w:r w:rsidRPr="0069405F">
              <w:rPr>
                <w:sz w:val="22"/>
              </w:rPr>
              <w:t xml:space="preserve"> un 2.</w:t>
            </w:r>
            <w:r w:rsidRPr="0069405F">
              <w:rPr>
                <w:sz w:val="22"/>
                <w:vertAlign w:val="superscript"/>
              </w:rPr>
              <w:t>2</w:t>
            </w:r>
            <w:r w:rsidRPr="0069405F">
              <w:rPr>
                <w:sz w:val="22"/>
              </w:rPr>
              <w:t xml:space="preserve"> daļā paredzēto pienākumu izpildi, Latvijas Neredzīgo biedrība, Latvijas Nedzirdīgo savienība, sabiedrība ar ierobežotu atbildību "Bērnu un pusaudžu resursu centrs", biedrība "Resursu centrs cilvēkiem ar garīgiem traucējumiem "ZELDA"", Latvijas Bērnu fonds, biedrība "Dzīvības koks" un Bērnu paliatīvās aprūpes biedrība, un valsts sabiedrība ar ierobežotu atbildību “Nacionālais rehabilitācijas centrs “Vaivari”” atrodas Labklājības ministrijas funkcionālā pārraudzībā, nodrošina piešķirto valsts budžeta līdzekļu racionālu izlietojumu un kontroli, administrēšanas izdevumiem </w:t>
            </w:r>
            <w:r w:rsidRPr="0069405F">
              <w:rPr>
                <w:sz w:val="22"/>
              </w:rPr>
              <w:lastRenderedPageBreak/>
              <w:t>izlietojot ne vairāk kā 10 procentus no šo pakalpojumu nodrošināšanai piešķirtajiem valsts budžeta līdzekļiem. Šo pienākumu izpildes nodrošināšanai minētās organizācijas ir tiesīgas izdot administratīvos aktus.</w:t>
            </w:r>
          </w:p>
        </w:tc>
        <w:tc>
          <w:tcPr>
            <w:tcW w:w="3742" w:type="dxa"/>
            <w:shd w:val="clear" w:color="auto" w:fill="auto"/>
          </w:tcPr>
          <w:p w14:paraId="15FC7BDB" w14:textId="62C65EA1" w:rsidR="00DA4826" w:rsidRPr="0069405F" w:rsidRDefault="00DA4826" w:rsidP="00DA4826">
            <w:pPr>
              <w:ind w:firstLine="567"/>
              <w:jc w:val="both"/>
              <w:rPr>
                <w:sz w:val="22"/>
              </w:rPr>
            </w:pPr>
            <w:r w:rsidRPr="0069405F">
              <w:rPr>
                <w:sz w:val="22"/>
              </w:rPr>
              <w:lastRenderedPageBreak/>
              <w:t>aizstāt 2.</w:t>
            </w:r>
            <w:r w:rsidRPr="0069405F">
              <w:rPr>
                <w:sz w:val="22"/>
                <w:vertAlign w:val="superscript"/>
              </w:rPr>
              <w:t>3</w:t>
            </w:r>
            <w:r w:rsidRPr="0069405F">
              <w:rPr>
                <w:sz w:val="22"/>
              </w:rPr>
              <w:t xml:space="preserve"> daļā vārdus "un Bērnu paliatīvās aprūpes biedrība, un valsts sabiedrība ar ierobežotu atbildību "Nacionālais rehabilitācijas centrs "Vaivari""" ar vārdiem "Bērnu paliatīvās aprūpes biedrība, valsts sabiedrība ar ierobežotu atbildību "Nacionālais rehabilitācijas centrs "Vaivari"", nodibinājums "Bērnu slimnīcas fonds" un biedrība "Latvijas Autisma apvienība"".</w:t>
            </w:r>
          </w:p>
        </w:tc>
        <w:tc>
          <w:tcPr>
            <w:tcW w:w="566" w:type="dxa"/>
          </w:tcPr>
          <w:p w14:paraId="122848A5" w14:textId="77777777" w:rsidR="00DA4826" w:rsidRPr="0069405F" w:rsidRDefault="00DA4826" w:rsidP="00A52812">
            <w:pPr>
              <w:jc w:val="center"/>
              <w:rPr>
                <w:b/>
                <w:sz w:val="22"/>
              </w:rPr>
            </w:pPr>
          </w:p>
        </w:tc>
        <w:tc>
          <w:tcPr>
            <w:tcW w:w="3742" w:type="dxa"/>
            <w:vAlign w:val="center"/>
          </w:tcPr>
          <w:p w14:paraId="2E778B61" w14:textId="77777777" w:rsidR="00DA4826" w:rsidRPr="0069405F" w:rsidRDefault="00DA4826" w:rsidP="00B85605">
            <w:pPr>
              <w:jc w:val="center"/>
              <w:rPr>
                <w:b/>
                <w:szCs w:val="24"/>
              </w:rPr>
            </w:pPr>
          </w:p>
        </w:tc>
        <w:tc>
          <w:tcPr>
            <w:tcW w:w="1417" w:type="dxa"/>
            <w:vAlign w:val="center"/>
          </w:tcPr>
          <w:p w14:paraId="3B2ACCE0" w14:textId="77777777" w:rsidR="00DA4826" w:rsidRPr="0069405F" w:rsidRDefault="00DA4826" w:rsidP="00B85605">
            <w:pPr>
              <w:jc w:val="center"/>
              <w:rPr>
                <w:b/>
                <w:szCs w:val="24"/>
              </w:rPr>
            </w:pPr>
          </w:p>
        </w:tc>
        <w:tc>
          <w:tcPr>
            <w:tcW w:w="1417" w:type="dxa"/>
            <w:vAlign w:val="center"/>
          </w:tcPr>
          <w:p w14:paraId="74026F89" w14:textId="77777777" w:rsidR="00DA4826" w:rsidRPr="0069405F" w:rsidRDefault="00DA4826" w:rsidP="00B85605">
            <w:pPr>
              <w:jc w:val="center"/>
              <w:rPr>
                <w:b/>
                <w:szCs w:val="24"/>
              </w:rPr>
            </w:pPr>
          </w:p>
        </w:tc>
      </w:tr>
      <w:tr w:rsidR="0069405F" w:rsidRPr="0069405F" w14:paraId="0847DD5C" w14:textId="77777777" w:rsidTr="00F56307">
        <w:tc>
          <w:tcPr>
            <w:tcW w:w="3742" w:type="dxa"/>
            <w:shd w:val="clear" w:color="auto" w:fill="auto"/>
          </w:tcPr>
          <w:p w14:paraId="0F43251A" w14:textId="7A4219A3" w:rsidR="001D0B52" w:rsidRPr="0069405F" w:rsidRDefault="00E87DCC" w:rsidP="00DA4826">
            <w:pPr>
              <w:ind w:firstLine="567"/>
              <w:jc w:val="both"/>
              <w:rPr>
                <w:sz w:val="22"/>
              </w:rPr>
            </w:pPr>
            <w:r w:rsidRPr="0069405F">
              <w:rPr>
                <w:sz w:val="22"/>
              </w:rPr>
              <w:t xml:space="preserve">(8) Lai daļēji kompensētu pašvaldību izdevumus par šā likuma 35. panta pirmajā daļā noteikto pamata sociālās palīdzības pabalstu nodrošināšanu, valsts nodrošina mērķdotāciju pašvaldībām izdevumu segšanai </w:t>
            </w:r>
            <w:r w:rsidRPr="0069405F">
              <w:rPr>
                <w:sz w:val="22"/>
                <w:u w:val="single"/>
              </w:rPr>
              <w:t>30 procentu</w:t>
            </w:r>
            <w:r w:rsidRPr="0069405F">
              <w:rPr>
                <w:sz w:val="22"/>
              </w:rPr>
              <w:t xml:space="preserve"> apmērā no mājsaimniecībām izmaksātā garantētā minimālā ienākuma pabalsta un mājokļa pabalsta.</w:t>
            </w:r>
          </w:p>
        </w:tc>
        <w:tc>
          <w:tcPr>
            <w:tcW w:w="3742" w:type="dxa"/>
            <w:shd w:val="clear" w:color="auto" w:fill="auto"/>
          </w:tcPr>
          <w:p w14:paraId="1DF30607" w14:textId="77777777" w:rsidR="001D0B52" w:rsidRPr="0069405F" w:rsidRDefault="001D0B52" w:rsidP="00DA4826">
            <w:pPr>
              <w:ind w:firstLine="567"/>
              <w:jc w:val="both"/>
              <w:rPr>
                <w:sz w:val="22"/>
              </w:rPr>
            </w:pPr>
          </w:p>
        </w:tc>
        <w:tc>
          <w:tcPr>
            <w:tcW w:w="566" w:type="dxa"/>
          </w:tcPr>
          <w:p w14:paraId="0F3AFB22" w14:textId="03D67A37" w:rsidR="001D0B52" w:rsidRPr="0069405F" w:rsidRDefault="00A52812" w:rsidP="00A52812">
            <w:pPr>
              <w:jc w:val="center"/>
              <w:rPr>
                <w:b/>
                <w:sz w:val="22"/>
              </w:rPr>
            </w:pPr>
            <w:r w:rsidRPr="0069405F">
              <w:rPr>
                <w:b/>
                <w:sz w:val="22"/>
              </w:rPr>
              <w:t>2</w:t>
            </w:r>
          </w:p>
        </w:tc>
        <w:tc>
          <w:tcPr>
            <w:tcW w:w="3742" w:type="dxa"/>
            <w:vAlign w:val="center"/>
          </w:tcPr>
          <w:p w14:paraId="0EF7EA12" w14:textId="0E8689C0" w:rsidR="001D0B52" w:rsidRPr="0069405F" w:rsidRDefault="001D0B52" w:rsidP="001D0B52">
            <w:pPr>
              <w:ind w:firstLine="567"/>
              <w:jc w:val="both"/>
              <w:rPr>
                <w:b/>
                <w:sz w:val="22"/>
                <w:u w:val="single"/>
              </w:rPr>
            </w:pPr>
            <w:r w:rsidRPr="0069405F">
              <w:rPr>
                <w:b/>
                <w:sz w:val="22"/>
                <w:u w:val="single"/>
              </w:rPr>
              <w:t>Deputāte R.Petraviča</w:t>
            </w:r>
          </w:p>
          <w:p w14:paraId="3F724577" w14:textId="77777777" w:rsidR="001D0B52" w:rsidRPr="0069405F" w:rsidRDefault="001D0B52" w:rsidP="001D0B52">
            <w:pPr>
              <w:ind w:firstLine="567"/>
              <w:jc w:val="both"/>
              <w:rPr>
                <w:sz w:val="22"/>
              </w:rPr>
            </w:pPr>
            <w:r w:rsidRPr="0069405F">
              <w:rPr>
                <w:sz w:val="22"/>
              </w:rPr>
              <w:t>Grozīt 13.panta astoto daļu šādā redakcijā:</w:t>
            </w:r>
          </w:p>
          <w:p w14:paraId="64C110DB" w14:textId="26F4166D" w:rsidR="001D0B52" w:rsidRPr="0069405F" w:rsidRDefault="001D0B52" w:rsidP="001D0B52">
            <w:pPr>
              <w:ind w:firstLine="567"/>
              <w:jc w:val="both"/>
              <w:rPr>
                <w:b/>
                <w:sz w:val="22"/>
                <w:u w:val="single"/>
              </w:rPr>
            </w:pPr>
            <w:r w:rsidRPr="0069405F">
              <w:rPr>
                <w:sz w:val="22"/>
              </w:rPr>
              <w:t>“</w:t>
            </w:r>
            <w:r w:rsidRPr="0069405F">
              <w:rPr>
                <w:sz w:val="22"/>
                <w:shd w:val="clear" w:color="auto" w:fill="FFFFFF"/>
              </w:rPr>
              <w:t>Lai daļēji kompensētu pašvaldību izdevumus par šā likuma</w:t>
            </w:r>
            <w:r w:rsidRPr="0069405F">
              <w:rPr>
                <w:rStyle w:val="apple-converted-space"/>
                <w:sz w:val="22"/>
                <w:shd w:val="clear" w:color="auto" w:fill="FFFFFF"/>
              </w:rPr>
              <w:t> </w:t>
            </w:r>
            <w:r w:rsidRPr="0069405F">
              <w:rPr>
                <w:sz w:val="22"/>
              </w:rPr>
              <w:t>35. panta</w:t>
            </w:r>
            <w:r w:rsidRPr="0069405F">
              <w:rPr>
                <w:rStyle w:val="apple-converted-space"/>
                <w:sz w:val="22"/>
                <w:shd w:val="clear" w:color="auto" w:fill="FFFFFF"/>
              </w:rPr>
              <w:t> </w:t>
            </w:r>
            <w:r w:rsidRPr="0069405F">
              <w:rPr>
                <w:sz w:val="22"/>
                <w:shd w:val="clear" w:color="auto" w:fill="FFFFFF"/>
              </w:rPr>
              <w:t xml:space="preserve">pirmajā daļā noteikto pamata sociālās palīdzības pabalstu nodrošināšanu, valsts nodrošina mērķdotāciju pašvaldībām izdevumu segšanai </w:t>
            </w:r>
            <w:r w:rsidRPr="0069405F">
              <w:rPr>
                <w:sz w:val="22"/>
                <w:u w:val="single"/>
                <w:shd w:val="clear" w:color="auto" w:fill="FFFFFF"/>
              </w:rPr>
              <w:t>50 procentu</w:t>
            </w:r>
            <w:r w:rsidRPr="0069405F">
              <w:rPr>
                <w:sz w:val="22"/>
                <w:shd w:val="clear" w:color="auto" w:fill="FFFFFF"/>
              </w:rPr>
              <w:t xml:space="preserve"> apmērā no mājsaimniecībām izmaksātā garantētā minimālā ienākuma pabalsta un mājokļa pabalsta.”</w:t>
            </w:r>
          </w:p>
        </w:tc>
        <w:tc>
          <w:tcPr>
            <w:tcW w:w="1417" w:type="dxa"/>
          </w:tcPr>
          <w:p w14:paraId="5DB082AA" w14:textId="0E61CC0F" w:rsidR="001D0B52" w:rsidRPr="0026281B" w:rsidRDefault="0026281B" w:rsidP="00F56307">
            <w:pPr>
              <w:jc w:val="center"/>
              <w:rPr>
                <w:b/>
                <w:szCs w:val="24"/>
              </w:rPr>
            </w:pPr>
            <w:r w:rsidRPr="0026281B">
              <w:rPr>
                <w:b/>
                <w:sz w:val="22"/>
              </w:rPr>
              <w:t>N</w:t>
            </w:r>
            <w:r w:rsidR="00F56307">
              <w:rPr>
                <w:b/>
                <w:sz w:val="22"/>
              </w:rPr>
              <w:t>e</w:t>
            </w:r>
            <w:r w:rsidRPr="0026281B">
              <w:rPr>
                <w:b/>
                <w:sz w:val="22"/>
              </w:rPr>
              <w:t>atbalst</w:t>
            </w:r>
            <w:r w:rsidR="00F56307">
              <w:rPr>
                <w:b/>
                <w:sz w:val="22"/>
              </w:rPr>
              <w:t>īt</w:t>
            </w:r>
          </w:p>
        </w:tc>
        <w:tc>
          <w:tcPr>
            <w:tcW w:w="1417" w:type="dxa"/>
            <w:vAlign w:val="center"/>
          </w:tcPr>
          <w:p w14:paraId="57919D2E" w14:textId="77777777" w:rsidR="001D0B52" w:rsidRPr="0069405F" w:rsidRDefault="001D0B52" w:rsidP="00B85605">
            <w:pPr>
              <w:jc w:val="center"/>
              <w:rPr>
                <w:b/>
                <w:szCs w:val="24"/>
              </w:rPr>
            </w:pPr>
          </w:p>
        </w:tc>
      </w:tr>
      <w:tr w:rsidR="0069405F" w:rsidRPr="0069405F" w14:paraId="7565ABD6" w14:textId="77777777" w:rsidTr="00A52812">
        <w:tc>
          <w:tcPr>
            <w:tcW w:w="3742" w:type="dxa"/>
            <w:shd w:val="clear" w:color="auto" w:fill="auto"/>
            <w:vAlign w:val="center"/>
          </w:tcPr>
          <w:p w14:paraId="15739503" w14:textId="77777777" w:rsidR="00DA4826" w:rsidRPr="0069405F" w:rsidRDefault="00DA4826" w:rsidP="00DA4826">
            <w:pPr>
              <w:pStyle w:val="tv213"/>
              <w:spacing w:before="0" w:beforeAutospacing="0" w:after="0" w:afterAutospacing="0"/>
              <w:ind w:firstLine="567"/>
              <w:jc w:val="both"/>
              <w:rPr>
                <w:sz w:val="22"/>
                <w:szCs w:val="22"/>
              </w:rPr>
            </w:pPr>
            <w:r w:rsidRPr="0069405F">
              <w:rPr>
                <w:b/>
                <w:bCs/>
                <w:sz w:val="22"/>
                <w:szCs w:val="22"/>
              </w:rPr>
              <w:t>13.</w:t>
            </w:r>
            <w:r w:rsidRPr="0069405F">
              <w:rPr>
                <w:b/>
                <w:bCs/>
                <w:sz w:val="22"/>
                <w:szCs w:val="22"/>
                <w:vertAlign w:val="superscript"/>
              </w:rPr>
              <w:t>1</w:t>
            </w:r>
            <w:r w:rsidRPr="0069405F">
              <w:rPr>
                <w:b/>
                <w:bCs/>
                <w:sz w:val="22"/>
                <w:szCs w:val="22"/>
              </w:rPr>
              <w:t xml:space="preserve"> pants. Samaksa par valsts finansētajiem sociālajiem pakalpojumiem</w:t>
            </w:r>
          </w:p>
          <w:p w14:paraId="14550E36" w14:textId="09E6C7A8" w:rsidR="00DA4826" w:rsidRPr="0069405F" w:rsidRDefault="00DA4826" w:rsidP="00DA4826">
            <w:pPr>
              <w:pStyle w:val="tv213"/>
              <w:spacing w:before="0" w:beforeAutospacing="0" w:after="0" w:afterAutospacing="0"/>
              <w:ind w:firstLine="567"/>
              <w:jc w:val="both"/>
              <w:rPr>
                <w:sz w:val="22"/>
                <w:szCs w:val="22"/>
              </w:rPr>
            </w:pPr>
            <w:r w:rsidRPr="0069405F">
              <w:rPr>
                <w:sz w:val="22"/>
                <w:szCs w:val="22"/>
              </w:rPr>
              <w:t>(1) Šā likuma 13.panta pirmās daļas 1., 2., 3.</w:t>
            </w:r>
            <w:r w:rsidRPr="0069405F">
              <w:rPr>
                <w:sz w:val="22"/>
                <w:szCs w:val="22"/>
                <w:vertAlign w:val="superscript"/>
              </w:rPr>
              <w:t>1</w:t>
            </w:r>
            <w:r w:rsidRPr="0069405F">
              <w:rPr>
                <w:sz w:val="22"/>
                <w:szCs w:val="22"/>
              </w:rPr>
              <w:t>, 4., 6., 7., 8., 11., 12., 12.</w:t>
            </w:r>
            <w:r w:rsidRPr="0069405F">
              <w:rPr>
                <w:sz w:val="22"/>
                <w:szCs w:val="22"/>
                <w:vertAlign w:val="superscript"/>
              </w:rPr>
              <w:t>1</w:t>
            </w:r>
            <w:r w:rsidRPr="0069405F">
              <w:rPr>
                <w:sz w:val="22"/>
                <w:szCs w:val="22"/>
              </w:rPr>
              <w:t xml:space="preserve"> un 14. punktā un 1.</w:t>
            </w:r>
            <w:r w:rsidRPr="0069405F">
              <w:rPr>
                <w:sz w:val="22"/>
                <w:szCs w:val="22"/>
                <w:vertAlign w:val="superscript"/>
              </w:rPr>
              <w:t>2</w:t>
            </w:r>
            <w:r w:rsidRPr="0069405F">
              <w:rPr>
                <w:sz w:val="22"/>
                <w:szCs w:val="22"/>
              </w:rPr>
              <w:t xml:space="preserve"> daļā, kā arī 9.</w:t>
            </w:r>
            <w:r w:rsidRPr="0069405F">
              <w:rPr>
                <w:sz w:val="22"/>
                <w:szCs w:val="22"/>
                <w:vertAlign w:val="superscript"/>
              </w:rPr>
              <w:t>1</w:t>
            </w:r>
            <w:r w:rsidRPr="0069405F">
              <w:rPr>
                <w:sz w:val="22"/>
                <w:szCs w:val="22"/>
              </w:rPr>
              <w:t xml:space="preserve"> panta 3., 4. un 5.punktā minētos pakalpojumus apmaksā no valsts budžeta līdzekļiem.</w:t>
            </w:r>
          </w:p>
        </w:tc>
        <w:tc>
          <w:tcPr>
            <w:tcW w:w="3742" w:type="dxa"/>
            <w:shd w:val="clear" w:color="auto" w:fill="auto"/>
          </w:tcPr>
          <w:p w14:paraId="1E0EF63A" w14:textId="6F293741" w:rsidR="00DA4826" w:rsidRPr="0069405F" w:rsidRDefault="00DA4826" w:rsidP="00DA4826">
            <w:pPr>
              <w:pStyle w:val="paragraph"/>
              <w:ind w:firstLine="567"/>
              <w:contextualSpacing w:val="0"/>
              <w:rPr>
                <w:color w:val="auto"/>
                <w:sz w:val="22"/>
                <w:szCs w:val="22"/>
              </w:rPr>
            </w:pPr>
            <w:r w:rsidRPr="0069405F">
              <w:rPr>
                <w:color w:val="auto"/>
                <w:sz w:val="22"/>
                <w:szCs w:val="22"/>
              </w:rPr>
              <w:t>2. Aizstāt 13.</w:t>
            </w:r>
            <w:r w:rsidRPr="0069405F">
              <w:rPr>
                <w:color w:val="auto"/>
                <w:sz w:val="22"/>
                <w:szCs w:val="22"/>
                <w:vertAlign w:val="superscript"/>
              </w:rPr>
              <w:t>1</w:t>
            </w:r>
            <w:r w:rsidRPr="0069405F">
              <w:rPr>
                <w:color w:val="auto"/>
                <w:sz w:val="22"/>
                <w:szCs w:val="22"/>
              </w:rPr>
              <w:t> panta pirmajā daļā vārdu un skaitli "un 14." ar skaitļiem un vārdu "14. un 16.".</w:t>
            </w:r>
          </w:p>
        </w:tc>
        <w:tc>
          <w:tcPr>
            <w:tcW w:w="566" w:type="dxa"/>
          </w:tcPr>
          <w:p w14:paraId="3F08C2EC" w14:textId="77777777" w:rsidR="00DA4826" w:rsidRPr="0069405F" w:rsidRDefault="00DA4826" w:rsidP="00A52812">
            <w:pPr>
              <w:jc w:val="center"/>
              <w:rPr>
                <w:b/>
                <w:sz w:val="22"/>
              </w:rPr>
            </w:pPr>
          </w:p>
        </w:tc>
        <w:tc>
          <w:tcPr>
            <w:tcW w:w="3742" w:type="dxa"/>
            <w:vAlign w:val="center"/>
          </w:tcPr>
          <w:p w14:paraId="4E2AA5E2" w14:textId="77777777" w:rsidR="00DA4826" w:rsidRPr="0069405F" w:rsidRDefault="00DA4826" w:rsidP="00B85605">
            <w:pPr>
              <w:jc w:val="center"/>
              <w:rPr>
                <w:b/>
                <w:szCs w:val="24"/>
              </w:rPr>
            </w:pPr>
          </w:p>
        </w:tc>
        <w:tc>
          <w:tcPr>
            <w:tcW w:w="1417" w:type="dxa"/>
            <w:vAlign w:val="center"/>
          </w:tcPr>
          <w:p w14:paraId="552ABA40" w14:textId="77777777" w:rsidR="00DA4826" w:rsidRPr="0069405F" w:rsidRDefault="00DA4826" w:rsidP="00B85605">
            <w:pPr>
              <w:jc w:val="center"/>
              <w:rPr>
                <w:b/>
                <w:szCs w:val="24"/>
              </w:rPr>
            </w:pPr>
          </w:p>
        </w:tc>
        <w:tc>
          <w:tcPr>
            <w:tcW w:w="1417" w:type="dxa"/>
            <w:vAlign w:val="center"/>
          </w:tcPr>
          <w:p w14:paraId="6337F959" w14:textId="77777777" w:rsidR="00DA4826" w:rsidRPr="0069405F" w:rsidRDefault="00DA4826" w:rsidP="00B85605">
            <w:pPr>
              <w:jc w:val="center"/>
              <w:rPr>
                <w:b/>
                <w:szCs w:val="24"/>
              </w:rPr>
            </w:pPr>
          </w:p>
        </w:tc>
      </w:tr>
      <w:tr w:rsidR="0069405F" w:rsidRPr="0069405F" w14:paraId="7E5A4C3D" w14:textId="77777777" w:rsidTr="00A52812">
        <w:tc>
          <w:tcPr>
            <w:tcW w:w="3742" w:type="dxa"/>
            <w:shd w:val="clear" w:color="auto" w:fill="auto"/>
          </w:tcPr>
          <w:p w14:paraId="4CBA3F5B" w14:textId="77777777" w:rsidR="00DA4826" w:rsidRPr="0069405F" w:rsidRDefault="00DA4826" w:rsidP="00DA4826">
            <w:pPr>
              <w:ind w:firstLine="567"/>
              <w:jc w:val="both"/>
              <w:rPr>
                <w:b/>
                <w:bCs/>
                <w:sz w:val="22"/>
              </w:rPr>
            </w:pPr>
            <w:r w:rsidRPr="0069405F">
              <w:rPr>
                <w:b/>
                <w:bCs/>
                <w:sz w:val="22"/>
              </w:rPr>
              <w:t>21.</w:t>
            </w:r>
            <w:r w:rsidRPr="0069405F">
              <w:rPr>
                <w:b/>
                <w:bCs/>
                <w:sz w:val="22"/>
                <w:vertAlign w:val="superscript"/>
              </w:rPr>
              <w:t>1</w:t>
            </w:r>
            <w:r w:rsidRPr="0069405F">
              <w:rPr>
                <w:b/>
                <w:bCs/>
                <w:sz w:val="22"/>
              </w:rPr>
              <w:t xml:space="preserve"> pants. Personas tiesības uz psihosociālo rehabilitāciju</w:t>
            </w:r>
          </w:p>
          <w:p w14:paraId="1A7E7B7E" w14:textId="77777777" w:rsidR="00DA4826" w:rsidRPr="0069405F" w:rsidRDefault="00DA4826" w:rsidP="00DA4826">
            <w:pPr>
              <w:ind w:firstLine="567"/>
              <w:jc w:val="both"/>
              <w:rPr>
                <w:sz w:val="22"/>
              </w:rPr>
            </w:pPr>
            <w:r w:rsidRPr="0069405F">
              <w:rPr>
                <w:sz w:val="22"/>
              </w:rPr>
              <w:t xml:space="preserve">(1) Psihosociālās rehabilitācijas pakalpojumu ir tiesības saņemt šādām personām, kurām nepieciešams atbalsts psihosociālo problēmu risināšanā, ja šīs problēmas apgrūtina to iekļaušanos sabiedrībā: </w:t>
            </w:r>
          </w:p>
          <w:p w14:paraId="62B70F39" w14:textId="5387827C" w:rsidR="00DA4826" w:rsidRPr="0069405F" w:rsidRDefault="00DA4826" w:rsidP="00DA4826">
            <w:pPr>
              <w:ind w:firstLine="567"/>
              <w:jc w:val="both"/>
              <w:rPr>
                <w:b/>
                <w:bCs/>
                <w:iCs/>
                <w:sz w:val="22"/>
              </w:rPr>
            </w:pPr>
            <w:r w:rsidRPr="0069405F">
              <w:rPr>
                <w:sz w:val="22"/>
              </w:rPr>
              <w:lastRenderedPageBreak/>
              <w:t>4) šā likuma 13. panta pirmās daļas 12.</w:t>
            </w:r>
            <w:r w:rsidRPr="0069405F">
              <w:rPr>
                <w:sz w:val="22"/>
                <w:vertAlign w:val="superscript"/>
              </w:rPr>
              <w:t>1</w:t>
            </w:r>
            <w:r w:rsidRPr="0069405F">
              <w:rPr>
                <w:sz w:val="22"/>
              </w:rPr>
              <w:t> punktā minētajām personām.</w:t>
            </w:r>
          </w:p>
        </w:tc>
        <w:tc>
          <w:tcPr>
            <w:tcW w:w="3742" w:type="dxa"/>
            <w:shd w:val="clear" w:color="auto" w:fill="auto"/>
          </w:tcPr>
          <w:p w14:paraId="23CFEBC7" w14:textId="6F06D377" w:rsidR="00DA4826" w:rsidRPr="0069405F" w:rsidRDefault="00DA4826" w:rsidP="00DA4826">
            <w:pPr>
              <w:pStyle w:val="paragraph"/>
              <w:ind w:firstLine="567"/>
              <w:contextualSpacing w:val="0"/>
              <w:rPr>
                <w:color w:val="auto"/>
                <w:sz w:val="22"/>
                <w:szCs w:val="22"/>
              </w:rPr>
            </w:pPr>
            <w:r w:rsidRPr="0069405F">
              <w:rPr>
                <w:color w:val="auto"/>
                <w:sz w:val="22"/>
                <w:szCs w:val="22"/>
              </w:rPr>
              <w:lastRenderedPageBreak/>
              <w:t>3. Papildināt 21.</w:t>
            </w:r>
            <w:r w:rsidRPr="0069405F">
              <w:rPr>
                <w:color w:val="auto"/>
                <w:sz w:val="22"/>
                <w:szCs w:val="22"/>
                <w:vertAlign w:val="superscript"/>
              </w:rPr>
              <w:t>1</w:t>
            </w:r>
            <w:r w:rsidRPr="0069405F">
              <w:rPr>
                <w:color w:val="auto"/>
                <w:sz w:val="22"/>
                <w:szCs w:val="22"/>
              </w:rPr>
              <w:t xml:space="preserve"> panta pirmās daļas 4. punktu pēc skaitļa "12.</w:t>
            </w:r>
            <w:r w:rsidRPr="0069405F">
              <w:rPr>
                <w:color w:val="auto"/>
                <w:sz w:val="22"/>
                <w:szCs w:val="22"/>
                <w:vertAlign w:val="superscript"/>
              </w:rPr>
              <w:t>1</w:t>
            </w:r>
            <w:r w:rsidRPr="0069405F">
              <w:rPr>
                <w:color w:val="auto"/>
                <w:sz w:val="22"/>
                <w:szCs w:val="22"/>
              </w:rPr>
              <w:t>" ar vārdu un skaitli "un 16.".</w:t>
            </w:r>
          </w:p>
        </w:tc>
        <w:tc>
          <w:tcPr>
            <w:tcW w:w="566" w:type="dxa"/>
          </w:tcPr>
          <w:p w14:paraId="7A95049C" w14:textId="77777777" w:rsidR="00DA4826" w:rsidRPr="0069405F" w:rsidRDefault="00DA4826" w:rsidP="00A52812">
            <w:pPr>
              <w:jc w:val="center"/>
              <w:rPr>
                <w:b/>
                <w:sz w:val="22"/>
              </w:rPr>
            </w:pPr>
          </w:p>
        </w:tc>
        <w:tc>
          <w:tcPr>
            <w:tcW w:w="3742" w:type="dxa"/>
            <w:vAlign w:val="center"/>
          </w:tcPr>
          <w:p w14:paraId="41DED446" w14:textId="77777777" w:rsidR="00DA4826" w:rsidRPr="0069405F" w:rsidRDefault="00DA4826" w:rsidP="00B85605">
            <w:pPr>
              <w:jc w:val="center"/>
              <w:rPr>
                <w:b/>
                <w:szCs w:val="24"/>
              </w:rPr>
            </w:pPr>
          </w:p>
        </w:tc>
        <w:tc>
          <w:tcPr>
            <w:tcW w:w="1417" w:type="dxa"/>
            <w:vAlign w:val="center"/>
          </w:tcPr>
          <w:p w14:paraId="1C826829" w14:textId="77777777" w:rsidR="00DA4826" w:rsidRPr="0069405F" w:rsidRDefault="00DA4826" w:rsidP="00B85605">
            <w:pPr>
              <w:jc w:val="center"/>
              <w:rPr>
                <w:b/>
                <w:szCs w:val="24"/>
              </w:rPr>
            </w:pPr>
          </w:p>
        </w:tc>
        <w:tc>
          <w:tcPr>
            <w:tcW w:w="1417" w:type="dxa"/>
            <w:vAlign w:val="center"/>
          </w:tcPr>
          <w:p w14:paraId="51E2A17E" w14:textId="77777777" w:rsidR="00DA4826" w:rsidRPr="0069405F" w:rsidRDefault="00DA4826" w:rsidP="00B85605">
            <w:pPr>
              <w:jc w:val="center"/>
              <w:rPr>
                <w:b/>
                <w:szCs w:val="24"/>
              </w:rPr>
            </w:pPr>
          </w:p>
        </w:tc>
      </w:tr>
      <w:tr w:rsidR="0069405F" w:rsidRPr="0069405F" w14:paraId="57A8A612" w14:textId="77777777" w:rsidTr="00A52812">
        <w:tc>
          <w:tcPr>
            <w:tcW w:w="3742" w:type="dxa"/>
            <w:shd w:val="clear" w:color="auto" w:fill="auto"/>
          </w:tcPr>
          <w:p w14:paraId="447F5C13" w14:textId="77777777" w:rsidR="00DA4826" w:rsidRPr="0069405F" w:rsidRDefault="00DA4826" w:rsidP="00DA4826">
            <w:pPr>
              <w:pStyle w:val="tv213"/>
              <w:spacing w:before="0" w:beforeAutospacing="0" w:after="0" w:afterAutospacing="0"/>
              <w:ind w:firstLine="567"/>
              <w:jc w:val="both"/>
              <w:rPr>
                <w:sz w:val="22"/>
                <w:szCs w:val="22"/>
              </w:rPr>
            </w:pPr>
            <w:r w:rsidRPr="0069405F">
              <w:rPr>
                <w:b/>
                <w:bCs/>
                <w:sz w:val="22"/>
                <w:szCs w:val="22"/>
              </w:rPr>
              <w:t>33. pants. Minimālo ienākumu sliekšņi sociālās palīdzības sniegšanai</w:t>
            </w:r>
          </w:p>
          <w:p w14:paraId="64FC300C" w14:textId="77777777" w:rsidR="00DA4826" w:rsidRPr="0069405F" w:rsidRDefault="00DA4826" w:rsidP="00DA4826">
            <w:pPr>
              <w:pStyle w:val="tv213"/>
              <w:spacing w:before="0" w:beforeAutospacing="0" w:after="0" w:afterAutospacing="0"/>
              <w:ind w:firstLine="567"/>
              <w:jc w:val="both"/>
              <w:rPr>
                <w:sz w:val="22"/>
                <w:szCs w:val="22"/>
              </w:rPr>
            </w:pPr>
            <w:r w:rsidRPr="0069405F">
              <w:rPr>
                <w:sz w:val="22"/>
                <w:szCs w:val="22"/>
              </w:rPr>
              <w:t xml:space="preserve">(1) Minimālo ienākumu sliekšņus sociālās palīdzības sniegšanai nosaka procentuālā apmērā, noapaļotus līdz veseliem </w:t>
            </w:r>
            <w:r w:rsidRPr="0069405F">
              <w:rPr>
                <w:i/>
                <w:iCs/>
                <w:sz w:val="22"/>
                <w:szCs w:val="22"/>
              </w:rPr>
              <w:t>euro</w:t>
            </w:r>
            <w:r w:rsidRPr="0069405F">
              <w:rPr>
                <w:sz w:val="22"/>
                <w:szCs w:val="22"/>
              </w:rPr>
              <w:t>, no Centrālās statistikas pārvaldes tīmekļvietnē publicētās minimālo ienākumu mediānas uz vienu ekvivalento patērētāju mēnesī (turpmāk — ienākumu mediāna).</w:t>
            </w:r>
          </w:p>
          <w:p w14:paraId="545A3F23" w14:textId="0BE50969" w:rsidR="00DA4826" w:rsidRPr="0069405F" w:rsidRDefault="00DA4826" w:rsidP="00DA4826">
            <w:pPr>
              <w:pStyle w:val="tv213"/>
              <w:spacing w:before="0" w:beforeAutospacing="0" w:after="0" w:afterAutospacing="0"/>
              <w:ind w:firstLine="567"/>
              <w:jc w:val="both"/>
              <w:rPr>
                <w:sz w:val="22"/>
                <w:szCs w:val="22"/>
              </w:rPr>
            </w:pPr>
            <w:r w:rsidRPr="0069405F">
              <w:rPr>
                <w:sz w:val="22"/>
                <w:szCs w:val="22"/>
              </w:rPr>
              <w:t>(2) Garantēto minimālo ienākumu slieksnis ir 20 procenti no ienākumu mediānas.</w:t>
            </w:r>
          </w:p>
        </w:tc>
        <w:tc>
          <w:tcPr>
            <w:tcW w:w="3742" w:type="dxa"/>
            <w:shd w:val="clear" w:color="auto" w:fill="auto"/>
          </w:tcPr>
          <w:p w14:paraId="52590B1B" w14:textId="77777777" w:rsidR="00DA4826" w:rsidRPr="0069405F" w:rsidRDefault="00DA4826" w:rsidP="001C365A">
            <w:pPr>
              <w:pStyle w:val="paragraph"/>
              <w:ind w:firstLine="567"/>
              <w:contextualSpacing w:val="0"/>
              <w:rPr>
                <w:color w:val="auto"/>
                <w:sz w:val="22"/>
                <w:szCs w:val="22"/>
              </w:rPr>
            </w:pPr>
            <w:r w:rsidRPr="0069405F">
              <w:rPr>
                <w:color w:val="auto"/>
                <w:sz w:val="22"/>
                <w:szCs w:val="22"/>
              </w:rPr>
              <w:t>4. Izteikt 33. panta pirmo un otro daļu šādā redakcijā:</w:t>
            </w:r>
          </w:p>
          <w:p w14:paraId="3D0BF5A8" w14:textId="77777777" w:rsidR="00DA4826" w:rsidRPr="0069405F" w:rsidRDefault="00DA4826" w:rsidP="001C365A">
            <w:pPr>
              <w:ind w:firstLine="567"/>
              <w:jc w:val="both"/>
              <w:rPr>
                <w:sz w:val="22"/>
              </w:rPr>
            </w:pPr>
            <w:r w:rsidRPr="0069405F">
              <w:rPr>
                <w:sz w:val="22"/>
              </w:rPr>
              <w:t xml:space="preserve">"(1) Minimālo ienākumu sliekšņus sociālās palīdzības sniegšanai nosaka procentuālā apmērā, noapaļotus līdz veseliem </w:t>
            </w:r>
            <w:r w:rsidRPr="0069405F">
              <w:rPr>
                <w:i/>
                <w:sz w:val="22"/>
              </w:rPr>
              <w:t>euro</w:t>
            </w:r>
            <w:r w:rsidRPr="0069405F">
              <w:rPr>
                <w:sz w:val="22"/>
              </w:rPr>
              <w:t>, no Centrālās statistikas pārvaldes tīmekļvietnē publicētās minimālo ienākumu mediānas uz vienu ekvivalento patērētāju mēnesī (turpmāk – ienākumu mediāna).</w:t>
            </w:r>
          </w:p>
          <w:p w14:paraId="25350632" w14:textId="7D3CB243" w:rsidR="00DA4826" w:rsidRPr="0069405F" w:rsidRDefault="00DA4826" w:rsidP="001C365A">
            <w:pPr>
              <w:ind w:firstLine="567"/>
              <w:jc w:val="both"/>
              <w:rPr>
                <w:sz w:val="22"/>
              </w:rPr>
            </w:pPr>
            <w:r w:rsidRPr="0069405F">
              <w:rPr>
                <w:sz w:val="22"/>
              </w:rPr>
              <w:t>(2) Garantēto minimālo ienākumu slieksnis ir 22 procenti no ienākumu mediānas."</w:t>
            </w:r>
          </w:p>
        </w:tc>
        <w:tc>
          <w:tcPr>
            <w:tcW w:w="566" w:type="dxa"/>
          </w:tcPr>
          <w:p w14:paraId="7E3B75E4" w14:textId="77777777" w:rsidR="00DA4826" w:rsidRPr="0069405F" w:rsidRDefault="00DA4826" w:rsidP="00A52812">
            <w:pPr>
              <w:jc w:val="center"/>
              <w:rPr>
                <w:b/>
                <w:sz w:val="22"/>
              </w:rPr>
            </w:pPr>
          </w:p>
        </w:tc>
        <w:tc>
          <w:tcPr>
            <w:tcW w:w="3742" w:type="dxa"/>
            <w:vAlign w:val="center"/>
          </w:tcPr>
          <w:p w14:paraId="4A26A1D7" w14:textId="77777777" w:rsidR="00DA4826" w:rsidRPr="0069405F" w:rsidRDefault="00DA4826" w:rsidP="00B85605">
            <w:pPr>
              <w:jc w:val="center"/>
              <w:rPr>
                <w:b/>
                <w:szCs w:val="24"/>
              </w:rPr>
            </w:pPr>
          </w:p>
        </w:tc>
        <w:tc>
          <w:tcPr>
            <w:tcW w:w="1417" w:type="dxa"/>
            <w:vAlign w:val="center"/>
          </w:tcPr>
          <w:p w14:paraId="471B923E" w14:textId="77777777" w:rsidR="00DA4826" w:rsidRPr="0069405F" w:rsidRDefault="00DA4826" w:rsidP="00B85605">
            <w:pPr>
              <w:jc w:val="center"/>
              <w:rPr>
                <w:b/>
                <w:szCs w:val="24"/>
              </w:rPr>
            </w:pPr>
          </w:p>
        </w:tc>
        <w:tc>
          <w:tcPr>
            <w:tcW w:w="1417" w:type="dxa"/>
            <w:vAlign w:val="center"/>
          </w:tcPr>
          <w:p w14:paraId="07C625E6" w14:textId="77777777" w:rsidR="00DA4826" w:rsidRPr="0069405F" w:rsidRDefault="00DA4826" w:rsidP="00B85605">
            <w:pPr>
              <w:jc w:val="center"/>
              <w:rPr>
                <w:b/>
                <w:szCs w:val="24"/>
              </w:rPr>
            </w:pPr>
          </w:p>
        </w:tc>
      </w:tr>
      <w:tr w:rsidR="0069405F" w:rsidRPr="0069405F" w14:paraId="2B11169C" w14:textId="77777777" w:rsidTr="00F56307">
        <w:tc>
          <w:tcPr>
            <w:tcW w:w="3742" w:type="dxa"/>
            <w:shd w:val="clear" w:color="auto" w:fill="auto"/>
          </w:tcPr>
          <w:p w14:paraId="27F33B0E" w14:textId="77777777" w:rsidR="00DA4826" w:rsidRPr="0069405F" w:rsidRDefault="001C365A" w:rsidP="001C365A">
            <w:pPr>
              <w:ind w:firstLine="567"/>
              <w:jc w:val="both"/>
              <w:rPr>
                <w:b/>
                <w:bCs/>
                <w:sz w:val="22"/>
              </w:rPr>
            </w:pPr>
            <w:r w:rsidRPr="0069405F">
              <w:rPr>
                <w:b/>
                <w:bCs/>
                <w:sz w:val="22"/>
              </w:rPr>
              <w:t>35.</w:t>
            </w:r>
            <w:r w:rsidRPr="0069405F">
              <w:rPr>
                <w:b/>
                <w:bCs/>
                <w:sz w:val="22"/>
                <w:vertAlign w:val="superscript"/>
              </w:rPr>
              <w:t> </w:t>
            </w:r>
            <w:r w:rsidRPr="0069405F">
              <w:rPr>
                <w:b/>
                <w:bCs/>
                <w:sz w:val="22"/>
              </w:rPr>
              <w:t>pants. Sociālās palīdzības pabalstu veidi</w:t>
            </w:r>
          </w:p>
          <w:p w14:paraId="7B1232CC" w14:textId="77777777" w:rsidR="001C365A" w:rsidRPr="0069405F" w:rsidRDefault="001C365A" w:rsidP="001C365A">
            <w:pPr>
              <w:pStyle w:val="tv213"/>
              <w:spacing w:before="0" w:beforeAutospacing="0" w:after="0" w:afterAutospacing="0"/>
              <w:ind w:firstLine="567"/>
              <w:jc w:val="both"/>
              <w:rPr>
                <w:sz w:val="22"/>
                <w:szCs w:val="22"/>
              </w:rPr>
            </w:pPr>
            <w:r w:rsidRPr="0069405F">
              <w:rPr>
                <w:sz w:val="22"/>
                <w:szCs w:val="22"/>
              </w:rPr>
              <w:t>(5) Lai mājsaimniecībai aprēķinātu mājokļa pabalsta apmēru, garantēto minimālo ienākumu sliekšņu summai piemēro šādus koeficientus:</w:t>
            </w:r>
          </w:p>
          <w:p w14:paraId="0433C89B" w14:textId="77777777" w:rsidR="001C365A" w:rsidRPr="0069405F" w:rsidRDefault="001C365A" w:rsidP="001C365A">
            <w:pPr>
              <w:pStyle w:val="tv213"/>
              <w:spacing w:before="0" w:beforeAutospacing="0" w:after="0" w:afterAutospacing="0"/>
              <w:ind w:firstLine="567"/>
              <w:jc w:val="both"/>
              <w:rPr>
                <w:sz w:val="22"/>
                <w:szCs w:val="22"/>
              </w:rPr>
            </w:pPr>
            <w:r w:rsidRPr="0069405F">
              <w:rPr>
                <w:sz w:val="22"/>
                <w:szCs w:val="22"/>
              </w:rPr>
              <w:t>1) atsevišķi dzīvojošai pensijas vecuma personai vai atsevišķi dzīvojošai personai ar invaliditāti — koeficientu 2,5;</w:t>
            </w:r>
          </w:p>
          <w:p w14:paraId="51A38599" w14:textId="77777777" w:rsidR="001C365A" w:rsidRPr="0069405F" w:rsidRDefault="001C365A" w:rsidP="001C365A">
            <w:pPr>
              <w:pStyle w:val="tv213"/>
              <w:spacing w:before="0" w:beforeAutospacing="0" w:after="0" w:afterAutospacing="0"/>
              <w:ind w:firstLine="567"/>
              <w:jc w:val="both"/>
              <w:rPr>
                <w:sz w:val="22"/>
                <w:szCs w:val="22"/>
              </w:rPr>
            </w:pPr>
            <w:r w:rsidRPr="0069405F">
              <w:rPr>
                <w:sz w:val="22"/>
                <w:szCs w:val="22"/>
              </w:rPr>
              <w:t>2) mājsaimniecībai, kurā ir tikai pensijas vecuma personas vai personas ar invaliditāti, — koeficientu 2;</w:t>
            </w:r>
          </w:p>
          <w:p w14:paraId="09492DA1" w14:textId="77777777" w:rsidR="001C365A" w:rsidRPr="0069405F" w:rsidRDefault="001C365A" w:rsidP="001C365A">
            <w:pPr>
              <w:pStyle w:val="tv213"/>
              <w:spacing w:before="0" w:beforeAutospacing="0" w:after="0" w:afterAutospacing="0"/>
              <w:ind w:firstLine="567"/>
              <w:jc w:val="both"/>
              <w:rPr>
                <w:sz w:val="22"/>
                <w:szCs w:val="22"/>
              </w:rPr>
            </w:pPr>
            <w:r w:rsidRPr="0069405F">
              <w:rPr>
                <w:sz w:val="22"/>
                <w:szCs w:val="22"/>
              </w:rPr>
              <w:t>3) mājsaimniecībai, kurā ir pensijas vecuma personas vai personas ar invaliditāti un bērni, — koeficientu 2;</w:t>
            </w:r>
          </w:p>
          <w:p w14:paraId="0D7854EC" w14:textId="731DBAB0" w:rsidR="001C365A" w:rsidRPr="0069405F" w:rsidRDefault="001C365A" w:rsidP="001C365A">
            <w:pPr>
              <w:pStyle w:val="tv213"/>
              <w:spacing w:before="0" w:beforeAutospacing="0" w:after="0" w:afterAutospacing="0"/>
              <w:ind w:firstLine="567"/>
              <w:jc w:val="both"/>
              <w:rPr>
                <w:sz w:val="22"/>
                <w:szCs w:val="22"/>
              </w:rPr>
            </w:pPr>
            <w:r w:rsidRPr="0069405F">
              <w:rPr>
                <w:sz w:val="22"/>
                <w:szCs w:val="22"/>
              </w:rPr>
              <w:t>4) pārējām mājsaimniecībām — koeficientu 1,5.</w:t>
            </w:r>
          </w:p>
        </w:tc>
        <w:tc>
          <w:tcPr>
            <w:tcW w:w="3742" w:type="dxa"/>
            <w:shd w:val="clear" w:color="auto" w:fill="auto"/>
          </w:tcPr>
          <w:p w14:paraId="5C5EA7F1" w14:textId="53B50765" w:rsidR="00DA4826" w:rsidRPr="0069405F" w:rsidRDefault="00DA4826" w:rsidP="001C365A">
            <w:pPr>
              <w:pStyle w:val="paragraph"/>
              <w:ind w:firstLine="567"/>
              <w:contextualSpacing w:val="0"/>
              <w:rPr>
                <w:color w:val="auto"/>
                <w:sz w:val="22"/>
                <w:szCs w:val="22"/>
              </w:rPr>
            </w:pPr>
            <w:r w:rsidRPr="0069405F">
              <w:rPr>
                <w:color w:val="auto"/>
                <w:sz w:val="22"/>
                <w:szCs w:val="22"/>
              </w:rPr>
              <w:t>5. Aizstāt 35. panta piektajā daļā skaitli "2,5" ar skaitli "2,1", skaitli "2" ar skaitli "1,7" un skaitli "1,5" ar skaitli "1,3".</w:t>
            </w:r>
          </w:p>
        </w:tc>
        <w:tc>
          <w:tcPr>
            <w:tcW w:w="566" w:type="dxa"/>
          </w:tcPr>
          <w:p w14:paraId="365DA9F5" w14:textId="561B4AE0" w:rsidR="00DA4826" w:rsidRPr="0069405F" w:rsidRDefault="00A52812" w:rsidP="00A52812">
            <w:pPr>
              <w:jc w:val="center"/>
              <w:rPr>
                <w:b/>
                <w:sz w:val="22"/>
              </w:rPr>
            </w:pPr>
            <w:r w:rsidRPr="0069405F">
              <w:rPr>
                <w:b/>
                <w:sz w:val="22"/>
              </w:rPr>
              <w:t>3</w:t>
            </w:r>
          </w:p>
        </w:tc>
        <w:tc>
          <w:tcPr>
            <w:tcW w:w="3742" w:type="dxa"/>
          </w:tcPr>
          <w:p w14:paraId="32F9C4C7" w14:textId="77777777" w:rsidR="001D0B52" w:rsidRPr="0069405F" w:rsidRDefault="001D0B52" w:rsidP="001D0B52">
            <w:pPr>
              <w:ind w:firstLine="567"/>
              <w:jc w:val="both"/>
              <w:rPr>
                <w:b/>
                <w:sz w:val="22"/>
                <w:u w:val="single"/>
              </w:rPr>
            </w:pPr>
            <w:r w:rsidRPr="0069405F">
              <w:rPr>
                <w:b/>
                <w:sz w:val="22"/>
                <w:u w:val="single"/>
              </w:rPr>
              <w:t>Deputāte R.Petraviča</w:t>
            </w:r>
          </w:p>
          <w:p w14:paraId="779A313B" w14:textId="77777777" w:rsidR="001D0B52" w:rsidRPr="0069405F" w:rsidRDefault="001D0B52" w:rsidP="001D0B52">
            <w:pPr>
              <w:ind w:firstLine="567"/>
              <w:jc w:val="both"/>
              <w:rPr>
                <w:sz w:val="22"/>
              </w:rPr>
            </w:pPr>
            <w:r w:rsidRPr="0069405F">
              <w:rPr>
                <w:sz w:val="22"/>
              </w:rPr>
              <w:t>35.panta piekto daļu atstāt spēkā esošajā redakcijā.</w:t>
            </w:r>
          </w:p>
          <w:p w14:paraId="424DFAF0" w14:textId="77777777" w:rsidR="00DA4826" w:rsidRPr="0069405F" w:rsidRDefault="00DA4826" w:rsidP="001D0B52">
            <w:pPr>
              <w:ind w:firstLine="567"/>
              <w:jc w:val="both"/>
              <w:rPr>
                <w:b/>
                <w:sz w:val="22"/>
              </w:rPr>
            </w:pPr>
          </w:p>
        </w:tc>
        <w:tc>
          <w:tcPr>
            <w:tcW w:w="1417" w:type="dxa"/>
          </w:tcPr>
          <w:p w14:paraId="44A0A859" w14:textId="0C62C69A" w:rsidR="00DA4826" w:rsidRPr="0069405F" w:rsidRDefault="00F56307" w:rsidP="00F56307">
            <w:pPr>
              <w:jc w:val="center"/>
              <w:rPr>
                <w:b/>
                <w:szCs w:val="24"/>
              </w:rPr>
            </w:pPr>
            <w:r w:rsidRPr="0026281B">
              <w:rPr>
                <w:b/>
                <w:sz w:val="22"/>
              </w:rPr>
              <w:t>N</w:t>
            </w:r>
            <w:r>
              <w:rPr>
                <w:b/>
                <w:sz w:val="22"/>
              </w:rPr>
              <w:t>e</w:t>
            </w:r>
            <w:r w:rsidRPr="0026281B">
              <w:rPr>
                <w:b/>
                <w:sz w:val="22"/>
              </w:rPr>
              <w:t>atbalst</w:t>
            </w:r>
            <w:r>
              <w:rPr>
                <w:b/>
                <w:sz w:val="22"/>
              </w:rPr>
              <w:t>īt</w:t>
            </w:r>
          </w:p>
        </w:tc>
        <w:tc>
          <w:tcPr>
            <w:tcW w:w="1417" w:type="dxa"/>
            <w:vAlign w:val="center"/>
          </w:tcPr>
          <w:p w14:paraId="62672C08" w14:textId="77777777" w:rsidR="00DA4826" w:rsidRPr="0069405F" w:rsidRDefault="00DA4826" w:rsidP="00B85605">
            <w:pPr>
              <w:jc w:val="center"/>
              <w:rPr>
                <w:b/>
                <w:szCs w:val="24"/>
              </w:rPr>
            </w:pPr>
          </w:p>
        </w:tc>
      </w:tr>
      <w:tr w:rsidR="0069405F" w:rsidRPr="0069405F" w14:paraId="066772D7" w14:textId="77777777" w:rsidTr="00A52812">
        <w:tc>
          <w:tcPr>
            <w:tcW w:w="3742" w:type="dxa"/>
            <w:shd w:val="clear" w:color="auto" w:fill="auto"/>
          </w:tcPr>
          <w:p w14:paraId="58DCCCD9" w14:textId="38EC8EED" w:rsidR="00DA4826" w:rsidRPr="0069405F" w:rsidRDefault="001C365A" w:rsidP="001C365A">
            <w:pPr>
              <w:ind w:firstLine="567"/>
              <w:jc w:val="both"/>
              <w:rPr>
                <w:b/>
                <w:bCs/>
                <w:iCs/>
                <w:sz w:val="22"/>
              </w:rPr>
            </w:pPr>
            <w:r w:rsidRPr="0069405F">
              <w:rPr>
                <w:b/>
                <w:bCs/>
                <w:iCs/>
                <w:sz w:val="22"/>
              </w:rPr>
              <w:t>Pārejas noteikumi</w:t>
            </w:r>
          </w:p>
        </w:tc>
        <w:tc>
          <w:tcPr>
            <w:tcW w:w="3742" w:type="dxa"/>
            <w:shd w:val="clear" w:color="auto" w:fill="auto"/>
            <w:vAlign w:val="center"/>
          </w:tcPr>
          <w:p w14:paraId="6B49A970" w14:textId="77777777" w:rsidR="00DA4826" w:rsidRPr="0069405F" w:rsidRDefault="00DA4826" w:rsidP="00DA4826">
            <w:pPr>
              <w:pStyle w:val="paragraph"/>
              <w:ind w:firstLine="567"/>
              <w:contextualSpacing w:val="0"/>
              <w:rPr>
                <w:color w:val="auto"/>
                <w:sz w:val="22"/>
                <w:szCs w:val="22"/>
              </w:rPr>
            </w:pPr>
            <w:r w:rsidRPr="0069405F">
              <w:rPr>
                <w:color w:val="auto"/>
                <w:sz w:val="22"/>
                <w:szCs w:val="22"/>
              </w:rPr>
              <w:t>6. Papildināt pārejas noteikumus ar 63. punktu šādā redakcijā:</w:t>
            </w:r>
          </w:p>
          <w:p w14:paraId="29AB889C" w14:textId="45FF3965" w:rsidR="00DA4826" w:rsidRPr="0069405F" w:rsidRDefault="00DA4826" w:rsidP="00DA4826">
            <w:pPr>
              <w:pStyle w:val="paragraph"/>
              <w:ind w:firstLine="567"/>
              <w:contextualSpacing w:val="0"/>
              <w:rPr>
                <w:color w:val="auto"/>
                <w:sz w:val="22"/>
                <w:szCs w:val="22"/>
              </w:rPr>
            </w:pPr>
            <w:r w:rsidRPr="0069405F">
              <w:rPr>
                <w:color w:val="auto"/>
                <w:sz w:val="22"/>
                <w:szCs w:val="22"/>
              </w:rPr>
              <w:lastRenderedPageBreak/>
              <w:t>"63. Ja mājsaimniecībai līdz 2024. gada 31. decembrim ir piešķirts garantētā minimālā ienākuma pabalsts par 2024. gada decembri un turpmākajiem mēnešiem, pašvaldības sociālais dienests veic tā pārrēķinu, piemērojot aktuālo iztikas līdzekļu deklarāciju atbilstoši 2025. gada 1. janvārī spēkā esošajam šā likuma 33. panta otrajā daļā noteiktajam tiesiskajam regulējumam bez personas atkārtota iesnieguma."</w:t>
            </w:r>
          </w:p>
        </w:tc>
        <w:tc>
          <w:tcPr>
            <w:tcW w:w="566" w:type="dxa"/>
          </w:tcPr>
          <w:p w14:paraId="34A4921A" w14:textId="77777777" w:rsidR="00DA4826" w:rsidRPr="0069405F" w:rsidRDefault="00DA4826" w:rsidP="00A52812">
            <w:pPr>
              <w:jc w:val="center"/>
              <w:rPr>
                <w:b/>
                <w:sz w:val="22"/>
              </w:rPr>
            </w:pPr>
          </w:p>
        </w:tc>
        <w:tc>
          <w:tcPr>
            <w:tcW w:w="3742" w:type="dxa"/>
            <w:vAlign w:val="center"/>
          </w:tcPr>
          <w:p w14:paraId="2885C996" w14:textId="77777777" w:rsidR="00DA4826" w:rsidRPr="0069405F" w:rsidRDefault="00DA4826" w:rsidP="00B85605">
            <w:pPr>
              <w:jc w:val="center"/>
              <w:rPr>
                <w:b/>
                <w:szCs w:val="24"/>
              </w:rPr>
            </w:pPr>
          </w:p>
        </w:tc>
        <w:tc>
          <w:tcPr>
            <w:tcW w:w="1417" w:type="dxa"/>
            <w:vAlign w:val="center"/>
          </w:tcPr>
          <w:p w14:paraId="2F9346AD" w14:textId="77777777" w:rsidR="00DA4826" w:rsidRPr="0069405F" w:rsidRDefault="00DA4826" w:rsidP="00B85605">
            <w:pPr>
              <w:jc w:val="center"/>
              <w:rPr>
                <w:b/>
                <w:szCs w:val="24"/>
              </w:rPr>
            </w:pPr>
          </w:p>
        </w:tc>
        <w:tc>
          <w:tcPr>
            <w:tcW w:w="1417" w:type="dxa"/>
            <w:vAlign w:val="center"/>
          </w:tcPr>
          <w:p w14:paraId="400B23C1" w14:textId="77777777" w:rsidR="00DA4826" w:rsidRPr="0069405F" w:rsidRDefault="00DA4826" w:rsidP="00B85605">
            <w:pPr>
              <w:jc w:val="center"/>
              <w:rPr>
                <w:b/>
                <w:szCs w:val="24"/>
              </w:rPr>
            </w:pPr>
          </w:p>
        </w:tc>
      </w:tr>
      <w:tr w:rsidR="00DA4826" w:rsidRPr="0069405F" w14:paraId="68D9BE8C" w14:textId="77777777" w:rsidTr="00A52812">
        <w:tc>
          <w:tcPr>
            <w:tcW w:w="3742" w:type="dxa"/>
            <w:shd w:val="clear" w:color="auto" w:fill="auto"/>
            <w:vAlign w:val="center"/>
          </w:tcPr>
          <w:p w14:paraId="57D38D4E" w14:textId="77777777" w:rsidR="00DA4826" w:rsidRPr="0069405F" w:rsidRDefault="00DA4826" w:rsidP="00B85605">
            <w:pPr>
              <w:ind w:firstLine="567"/>
              <w:jc w:val="both"/>
              <w:rPr>
                <w:b/>
                <w:bCs/>
                <w:iCs/>
                <w:sz w:val="22"/>
              </w:rPr>
            </w:pPr>
          </w:p>
        </w:tc>
        <w:tc>
          <w:tcPr>
            <w:tcW w:w="3742" w:type="dxa"/>
            <w:shd w:val="clear" w:color="auto" w:fill="auto"/>
            <w:vAlign w:val="center"/>
          </w:tcPr>
          <w:p w14:paraId="69E0C0C6" w14:textId="5DC6B57B" w:rsidR="00DA4826" w:rsidRPr="0069405F" w:rsidRDefault="00DA4826" w:rsidP="00DA4826">
            <w:pPr>
              <w:pStyle w:val="paragraph"/>
              <w:ind w:firstLine="567"/>
              <w:contextualSpacing w:val="0"/>
              <w:rPr>
                <w:color w:val="auto"/>
                <w:sz w:val="22"/>
                <w:szCs w:val="22"/>
              </w:rPr>
            </w:pPr>
            <w:r w:rsidRPr="0069405F">
              <w:rPr>
                <w:color w:val="auto"/>
                <w:sz w:val="22"/>
                <w:szCs w:val="22"/>
              </w:rPr>
              <w:t>Likums stājas spēkā 2025. gada 1. janvārī.</w:t>
            </w:r>
          </w:p>
        </w:tc>
        <w:tc>
          <w:tcPr>
            <w:tcW w:w="566" w:type="dxa"/>
          </w:tcPr>
          <w:p w14:paraId="6E506B28" w14:textId="77777777" w:rsidR="00DA4826" w:rsidRPr="0069405F" w:rsidRDefault="00DA4826" w:rsidP="00A52812">
            <w:pPr>
              <w:jc w:val="center"/>
              <w:rPr>
                <w:b/>
                <w:sz w:val="22"/>
              </w:rPr>
            </w:pPr>
          </w:p>
        </w:tc>
        <w:tc>
          <w:tcPr>
            <w:tcW w:w="3742" w:type="dxa"/>
            <w:vAlign w:val="center"/>
          </w:tcPr>
          <w:p w14:paraId="1E2BC7B5" w14:textId="77777777" w:rsidR="00DA4826" w:rsidRPr="0069405F" w:rsidRDefault="00DA4826" w:rsidP="00B85605">
            <w:pPr>
              <w:jc w:val="center"/>
              <w:rPr>
                <w:b/>
                <w:szCs w:val="24"/>
              </w:rPr>
            </w:pPr>
          </w:p>
        </w:tc>
        <w:tc>
          <w:tcPr>
            <w:tcW w:w="1417" w:type="dxa"/>
            <w:vAlign w:val="center"/>
          </w:tcPr>
          <w:p w14:paraId="10992D12" w14:textId="77777777" w:rsidR="00DA4826" w:rsidRPr="0069405F" w:rsidRDefault="00DA4826" w:rsidP="00B85605">
            <w:pPr>
              <w:jc w:val="center"/>
              <w:rPr>
                <w:b/>
                <w:szCs w:val="24"/>
              </w:rPr>
            </w:pPr>
          </w:p>
        </w:tc>
        <w:tc>
          <w:tcPr>
            <w:tcW w:w="1417" w:type="dxa"/>
            <w:vAlign w:val="center"/>
          </w:tcPr>
          <w:p w14:paraId="5F62B57F" w14:textId="77777777" w:rsidR="00DA4826" w:rsidRPr="0069405F" w:rsidRDefault="00DA4826" w:rsidP="00B85605">
            <w:pPr>
              <w:jc w:val="center"/>
              <w:rPr>
                <w:b/>
                <w:szCs w:val="24"/>
              </w:rPr>
            </w:pPr>
          </w:p>
        </w:tc>
      </w:tr>
    </w:tbl>
    <w:p w14:paraId="3B2420E8" w14:textId="591DAC42" w:rsidR="0069405F" w:rsidRPr="0069405F" w:rsidRDefault="0069405F" w:rsidP="0069405F">
      <w:pPr>
        <w:pStyle w:val="Header"/>
        <w:ind w:firstLine="567"/>
        <w:jc w:val="both"/>
        <w:rPr>
          <w:rFonts w:ascii="Times New Roman" w:hAnsi="Times New Roman"/>
          <w:b/>
          <w:bCs/>
          <w:iCs/>
          <w:noProof/>
          <w:sz w:val="20"/>
          <w:u w:val="single"/>
          <w:lang w:val="lv-LV"/>
        </w:rPr>
      </w:pPr>
      <w:r w:rsidRPr="0069405F">
        <w:rPr>
          <w:rFonts w:ascii="Times New Roman" w:hAnsi="Times New Roman"/>
          <w:b/>
          <w:bCs/>
          <w:iCs/>
          <w:noProof/>
          <w:sz w:val="20"/>
          <w:u w:val="single"/>
          <w:lang w:val="lv-LV"/>
        </w:rPr>
        <w:t>Tiesībsargs J.Jansons</w:t>
      </w:r>
    </w:p>
    <w:p w14:paraId="7BB556E9" w14:textId="7A30BF34" w:rsidR="0069405F" w:rsidRPr="00800489" w:rsidRDefault="0069405F" w:rsidP="0069405F">
      <w:pPr>
        <w:pStyle w:val="Header"/>
        <w:ind w:firstLine="567"/>
        <w:jc w:val="both"/>
        <w:rPr>
          <w:rFonts w:ascii="Times New Roman" w:hAnsi="Times New Roman"/>
          <w:b/>
          <w:bCs/>
          <w:iCs/>
          <w:sz w:val="20"/>
          <w:lang w:val="lv-LV"/>
        </w:rPr>
      </w:pPr>
      <w:r w:rsidRPr="00800489">
        <w:rPr>
          <w:rFonts w:ascii="Times New Roman" w:hAnsi="Times New Roman"/>
          <w:b/>
          <w:bCs/>
          <w:iCs/>
          <w:noProof/>
          <w:sz w:val="20"/>
          <w:lang w:val="lv-LV"/>
        </w:rPr>
        <w:t>Par likumprojektu „Grozījumi Sociālo pakalpojumu un sociālās palīdzības likumā” (Nr. 753/Lp14)</w:t>
      </w:r>
    </w:p>
    <w:p w14:paraId="76D41463"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Saeima 2024. gada 30. oktobra sēdē pirmajā lasījumā atbalstīja likumprojektu "Grozījumi Sociālo pakalpojumu un sociālās palīdzības likumā", kas kā sastāvdaļa iekļauts likumprojekta "Par valsts budžetu 2025. gadam un budžeta ietvaru 2025., 2026. un 2027. gadam" pavadošo likumprojektu paketē.</w:t>
      </w:r>
    </w:p>
    <w:p w14:paraId="411F21F6"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[1] Ar likumprojektu paredzēts novērst Satversmes tiesas 2023. gada 5. oktobrī lietā Nr. 2022</w:t>
      </w:r>
      <w:r w:rsidRPr="00800489">
        <w:rPr>
          <w:rFonts w:ascii="Times New Roman" w:hAnsi="Times New Roman"/>
          <w:sz w:val="20"/>
          <w:lang w:val="lv-LV"/>
        </w:rPr>
        <w:noBreakHyphen/>
        <w:t>34</w:t>
      </w:r>
      <w:r w:rsidRPr="00800489">
        <w:rPr>
          <w:rFonts w:ascii="Times New Roman" w:hAnsi="Times New Roman"/>
          <w:sz w:val="20"/>
          <w:lang w:val="lv-LV"/>
        </w:rPr>
        <w:noBreakHyphen/>
        <w:t>01 “Par Sociālo pakalpojumu un sociālās palīdzības likuma 33. panta pirmās daļas un likuma “Par sociālo drošību” 2.</w:t>
      </w:r>
      <w:r w:rsidRPr="00800489">
        <w:rPr>
          <w:rFonts w:ascii="Times New Roman" w:hAnsi="Times New Roman"/>
          <w:sz w:val="20"/>
          <w:vertAlign w:val="superscript"/>
          <w:lang w:val="lv-LV"/>
        </w:rPr>
        <w:t>2</w:t>
      </w:r>
      <w:r w:rsidRPr="00800489">
        <w:rPr>
          <w:rFonts w:ascii="Times New Roman" w:hAnsi="Times New Roman"/>
          <w:sz w:val="20"/>
          <w:lang w:val="lv-LV"/>
        </w:rPr>
        <w:t xml:space="preserve"> panta otrās un trešās daļas atbilstību Latvijas Republikas Satversmes 1. un 109. pantam” konstatētos trūkumus. Tiesa citstarp atzina, ka apstrīdētajās normās paredzētā </w:t>
      </w:r>
      <w:r w:rsidRPr="00800489">
        <w:rPr>
          <w:rFonts w:ascii="Times New Roman" w:hAnsi="Times New Roman"/>
          <w:b/>
          <w:bCs/>
          <w:sz w:val="20"/>
          <w:lang w:val="lv-LV"/>
        </w:rPr>
        <w:t>minimālo ienākumu sliekšņa noteikšanas kārtība kopā ar citiem sociālās drošības sistēmas pasākumiem</w:t>
      </w:r>
      <w:r w:rsidRPr="00800489">
        <w:rPr>
          <w:rFonts w:ascii="Times New Roman" w:hAnsi="Times New Roman"/>
          <w:sz w:val="20"/>
          <w:lang w:val="lv-LV"/>
        </w:rPr>
        <w:t xml:space="preserve"> nerada ikvienai trūcīgai personai iespēju veidot cilvēka cieņai atbilstošu dzīvi. Tādēļ tās atzina par neatbilstošām Satversmes 1. un 109. pantam.</w:t>
      </w:r>
    </w:p>
    <w:p w14:paraId="6266A7EB"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Grozījumu mērķis ir palielināt garantēto minimālo ienākumu (turpmāk – GMI) slieksni, lai izpildītu Satversmes tiesas spriedumu. GMI slieksni ir paredzēts noteikt 22% apmērā no ienākumu mediānas</w:t>
      </w:r>
      <w:r w:rsidRPr="00800489">
        <w:rPr>
          <w:rStyle w:val="FootnoteReference"/>
          <w:rFonts w:ascii="Times New Roman" w:hAnsi="Times New Roman"/>
          <w:sz w:val="20"/>
          <w:lang w:val="lv-LV"/>
        </w:rPr>
        <w:footnoteReference w:id="1"/>
      </w:r>
      <w:r w:rsidRPr="00800489">
        <w:rPr>
          <w:rFonts w:ascii="Times New Roman" w:hAnsi="Times New Roman"/>
          <w:sz w:val="20"/>
          <w:lang w:val="lv-LV"/>
        </w:rPr>
        <w:t>. Tādējādi 2025. gadā GMI slieksnis būs 166 euro pirmajai vai vienīgajai personai mājsaimniecībā un 116 euro pārējām personām mājsaimniecībā. Palielinot GMI slieksni no 20% uz 22% no ienākumu mediānas, 2025. gadā tas palielināsies attiecīgi par 15 euro (vidēji 0,50 euro dienā) un 10 euro (vidēji 0,33 euro dienā).</w:t>
      </w:r>
    </w:p>
    <w:p w14:paraId="1744BC23"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Satversmes tiesa lietā Nr. 2022-34-01 secināja, ka garantēto minimālo ienākumu pabalsts kopā ar pārtikas komplektiem nesasniedz vienas personas pārtikas groza izmaksas, bet zupas virtuves un brīvpusdienas izglītojamiem nav pieejamas ikvienai trūcīgai personai.</w:t>
      </w:r>
    </w:p>
    <w:p w14:paraId="42F2556B"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Ņemot vērā, ka no nākamā gada ir paredzēts samazināt pārtikas atbalsta apjomu, t.i., turpmāk viens cilvēks varēs saņemt vienu pārtikas preču komplektu ceturksnī, līdzšinējo divu komplektu vietā</w:t>
      </w:r>
      <w:r w:rsidRPr="00800489">
        <w:rPr>
          <w:rStyle w:val="FootnoteReference"/>
          <w:rFonts w:ascii="Times New Roman" w:hAnsi="Times New Roman"/>
          <w:sz w:val="20"/>
          <w:lang w:val="lv-LV"/>
        </w:rPr>
        <w:footnoteReference w:id="2"/>
      </w:r>
      <w:r w:rsidRPr="00800489">
        <w:rPr>
          <w:rFonts w:ascii="Times New Roman" w:hAnsi="Times New Roman"/>
          <w:sz w:val="20"/>
          <w:lang w:val="lv-LV"/>
        </w:rPr>
        <w:t>, kā arī nav palielinājies gatavo maltīšu izsniegšanas vietu skaits</w:t>
      </w:r>
      <w:r w:rsidRPr="00800489">
        <w:rPr>
          <w:rStyle w:val="FootnoteReference"/>
          <w:rFonts w:ascii="Times New Roman" w:hAnsi="Times New Roman"/>
          <w:sz w:val="20"/>
          <w:lang w:val="lv-LV"/>
        </w:rPr>
        <w:footnoteReference w:id="3"/>
      </w:r>
      <w:r w:rsidRPr="00800489">
        <w:rPr>
          <w:rFonts w:ascii="Times New Roman" w:hAnsi="Times New Roman"/>
          <w:sz w:val="20"/>
          <w:lang w:val="lv-LV"/>
        </w:rPr>
        <w:t xml:space="preserve">, pastāv bažas, ka </w:t>
      </w:r>
      <w:r w:rsidRPr="00800489">
        <w:rPr>
          <w:rFonts w:ascii="Times New Roman" w:hAnsi="Times New Roman"/>
          <w:b/>
          <w:bCs/>
          <w:sz w:val="20"/>
          <w:lang w:val="lv-LV"/>
        </w:rPr>
        <w:t>arī pēc GMI sliekšņa paaugstināšanas par 2 procentpunktiem, tas joprojām nesniegs trūcīgai personai pietiekamu atbalstu pamatvajadzību (ēdiens, apģērbs, mājoklis, veselības aprūpe, obligātā izglītība) nodrošināšanai</w:t>
      </w:r>
      <w:r w:rsidRPr="00800489">
        <w:rPr>
          <w:rFonts w:ascii="Times New Roman" w:hAnsi="Times New Roman"/>
          <w:sz w:val="20"/>
          <w:lang w:val="lv-LV"/>
        </w:rPr>
        <w:t>.</w:t>
      </w:r>
    </w:p>
    <w:p w14:paraId="65C3C761"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lastRenderedPageBreak/>
        <w:t xml:space="preserve">[2] Tāpat ar grozījumiem ir paredzēts samazināt mājokļa pabalsta aprēķināšanai piemērojamos koeficientus. Likumprojekta anotācijā norādīts, ka, palielinot GMI sliekšņa summu līdz 22% no ienākumu mediānas, pie esošajiem koeficientiem mājokļa pabalsta aprēķinā būtiski palielinātos arī summas, kurām jāpaliek mājsaimniecības rīcībā pēc komunālo rēķinu nomaksas. Līdz ar to, </w:t>
      </w:r>
      <w:r w:rsidRPr="00800489">
        <w:rPr>
          <w:rFonts w:ascii="Times New Roman" w:hAnsi="Times New Roman"/>
          <w:b/>
          <w:bCs/>
          <w:sz w:val="20"/>
          <w:lang w:val="lv-LV"/>
        </w:rPr>
        <w:t xml:space="preserve">lai kompensētu pašvaldībām šo 2 procentpunktu GMI sliekšņa palielinājuma rezultātā radīto izdevumu pieaugumu, ir paredzēts samazināt mājokļa pabalsta aprēķināšanai piemērojamos koeficientus </w:t>
      </w:r>
      <w:r w:rsidRPr="00800489">
        <w:rPr>
          <w:rFonts w:ascii="Times New Roman" w:hAnsi="Times New Roman"/>
          <w:sz w:val="20"/>
          <w:lang w:val="lv-LV"/>
        </w:rPr>
        <w:t>(turpmāk – koeficienti), kas noteikti Sociālo pakalpojumu un sociālās palīdzības likuma 35. panta piektajā daļā.</w:t>
      </w:r>
    </w:p>
    <w:p w14:paraId="22C4C874"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[2.1] Attiecīgi, mājokļa pabalsta aprēķināšanai, GMI sliekšņu summai ir paredzēts noteikt sekojošus koeficientus:</w:t>
      </w:r>
    </w:p>
    <w:p w14:paraId="724AD969" w14:textId="77777777" w:rsidR="0069405F" w:rsidRPr="00800489" w:rsidRDefault="0069405F" w:rsidP="0069405F">
      <w:pPr>
        <w:pStyle w:val="Header"/>
        <w:numPr>
          <w:ilvl w:val="0"/>
          <w:numId w:val="3"/>
        </w:numPr>
        <w:tabs>
          <w:tab w:val="center" w:pos="709"/>
        </w:tabs>
        <w:ind w:left="0" w:firstLine="567"/>
        <w:jc w:val="both"/>
        <w:rPr>
          <w:rFonts w:ascii="Times New Roman" w:hAnsi="Times New Roman"/>
          <w:sz w:val="20"/>
          <w:lang w:val="lv-LV"/>
        </w:rPr>
      </w:pPr>
      <w:r w:rsidRPr="00800489">
        <w:rPr>
          <w:rFonts w:ascii="Times New Roman" w:hAnsi="Times New Roman"/>
          <w:sz w:val="20"/>
          <w:lang w:val="lv-LV"/>
        </w:rPr>
        <w:t>atsevišķi dzīvojošai pensijas vecuma personai vai atsevišķi dzīvojošai personai ar invaliditāti — koeficientu 2,1 (šogad - 2,5);</w:t>
      </w:r>
    </w:p>
    <w:p w14:paraId="3C839817" w14:textId="77777777" w:rsidR="0069405F" w:rsidRPr="00800489" w:rsidRDefault="0069405F" w:rsidP="0069405F">
      <w:pPr>
        <w:pStyle w:val="Header"/>
        <w:numPr>
          <w:ilvl w:val="0"/>
          <w:numId w:val="3"/>
        </w:numPr>
        <w:tabs>
          <w:tab w:val="center" w:pos="709"/>
        </w:tabs>
        <w:ind w:left="0" w:firstLine="567"/>
        <w:jc w:val="both"/>
        <w:rPr>
          <w:rFonts w:ascii="Times New Roman" w:hAnsi="Times New Roman"/>
          <w:sz w:val="20"/>
          <w:lang w:val="lv-LV"/>
        </w:rPr>
      </w:pPr>
      <w:r w:rsidRPr="00800489">
        <w:rPr>
          <w:rFonts w:ascii="Times New Roman" w:hAnsi="Times New Roman"/>
          <w:sz w:val="20"/>
          <w:lang w:val="lv-LV"/>
        </w:rPr>
        <w:t>mājsaimniecībai, kurā ir tikai pensijas vecuma personas vai personas ar invaliditāti, — koeficientu 1,7 (šogad – 2);</w:t>
      </w:r>
    </w:p>
    <w:p w14:paraId="1F6E8971" w14:textId="77777777" w:rsidR="0069405F" w:rsidRPr="00800489" w:rsidRDefault="0069405F" w:rsidP="0069405F">
      <w:pPr>
        <w:pStyle w:val="Header"/>
        <w:numPr>
          <w:ilvl w:val="0"/>
          <w:numId w:val="3"/>
        </w:numPr>
        <w:tabs>
          <w:tab w:val="center" w:pos="709"/>
        </w:tabs>
        <w:ind w:left="0" w:firstLine="567"/>
        <w:jc w:val="both"/>
        <w:rPr>
          <w:rFonts w:ascii="Times New Roman" w:hAnsi="Times New Roman"/>
          <w:sz w:val="20"/>
          <w:lang w:val="lv-LV"/>
        </w:rPr>
      </w:pPr>
      <w:r w:rsidRPr="00800489">
        <w:rPr>
          <w:rFonts w:ascii="Times New Roman" w:hAnsi="Times New Roman"/>
          <w:sz w:val="20"/>
          <w:lang w:val="lv-LV"/>
        </w:rPr>
        <w:t>mājsaimniecībai, kurā ir pensijas vecuma personas vai personas ar invaliditāti un bērni, — koeficientu 1,7 (šogad – 2);</w:t>
      </w:r>
    </w:p>
    <w:p w14:paraId="6E9B7AC8" w14:textId="77777777" w:rsidR="0069405F" w:rsidRPr="00800489" w:rsidRDefault="0069405F" w:rsidP="0069405F">
      <w:pPr>
        <w:pStyle w:val="Header"/>
        <w:numPr>
          <w:ilvl w:val="0"/>
          <w:numId w:val="3"/>
        </w:numPr>
        <w:tabs>
          <w:tab w:val="center" w:pos="709"/>
        </w:tabs>
        <w:ind w:left="0" w:firstLine="567"/>
        <w:jc w:val="both"/>
        <w:rPr>
          <w:rFonts w:ascii="Times New Roman" w:hAnsi="Times New Roman"/>
          <w:sz w:val="20"/>
          <w:lang w:val="lv-LV"/>
        </w:rPr>
      </w:pPr>
      <w:r w:rsidRPr="00800489">
        <w:rPr>
          <w:rFonts w:ascii="Times New Roman" w:hAnsi="Times New Roman"/>
          <w:sz w:val="20"/>
          <w:lang w:val="lv-LV"/>
        </w:rPr>
        <w:t>pārējām mājsaimniecībām — koeficientu 1,3 (šogad – 1,5).</w:t>
      </w:r>
    </w:p>
    <w:p w14:paraId="5DC2367A"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Likumprojekta "Grozījumi Sociālo pakalpojumu un sociālās palīdzības likumā" sākotnējās ietekmes (ex-ante) novērtējuma ziņojumā (anotācija) citstarp ir noradīts, ka koeficientu samazināšana nepasliktinās esošo situāciju, t.i., ienākumu apmērs, kas paliek mājsaimniecības rīcībā pēc mājokļa izdevumu apmaksas, nesamazināsies, bet gan nedaudz palielinās. Tādējādi arī netiek pārkāpts tiesiskās paļāvības princips.</w:t>
      </w:r>
    </w:p>
    <w:p w14:paraId="7EB0CED7"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 xml:space="preserve">Atsevišķi dzīvojošai pensijas vecuma personai vai personai ar invaliditāti, GMI slieksnim piemērojot koeficientu 2,1, pēc mājokļa izdevumu apmaksas personas rīcībā 2025. gadā paliks </w:t>
      </w:r>
      <w:r w:rsidRPr="00800489">
        <w:rPr>
          <w:rFonts w:ascii="Times New Roman" w:hAnsi="Times New Roman"/>
          <w:b/>
          <w:bCs/>
          <w:sz w:val="20"/>
          <w:lang w:val="lv-LV"/>
        </w:rPr>
        <w:t>348,60 euro</w:t>
      </w:r>
      <w:r w:rsidRPr="00800489">
        <w:rPr>
          <w:rFonts w:ascii="Times New Roman" w:hAnsi="Times New Roman"/>
          <w:sz w:val="20"/>
          <w:lang w:val="lv-LV"/>
        </w:rPr>
        <w:t xml:space="preserve"> (2024. gadā - 342,50 euro), savukārt, piemērojot šobrīd spēkā esošo koeficientu 2,5, mājsaimniecības rīcībā paliktu </w:t>
      </w:r>
      <w:r w:rsidRPr="00800489">
        <w:rPr>
          <w:rFonts w:ascii="Times New Roman" w:hAnsi="Times New Roman"/>
          <w:b/>
          <w:bCs/>
          <w:sz w:val="20"/>
          <w:lang w:val="lv-LV"/>
        </w:rPr>
        <w:t>415 euro</w:t>
      </w:r>
      <w:r w:rsidRPr="00800489">
        <w:rPr>
          <w:rFonts w:ascii="Times New Roman" w:hAnsi="Times New Roman"/>
          <w:sz w:val="20"/>
          <w:lang w:val="lv-LV"/>
        </w:rPr>
        <w:t xml:space="preserve">. Mājsaimniecības, kurā ir divas pensijas vecuma personas vai personas ar invaliditāti, piemērojot koeficientu 1,7, rīcībā paliks </w:t>
      </w:r>
      <w:r w:rsidRPr="00800489">
        <w:rPr>
          <w:rFonts w:ascii="Times New Roman" w:hAnsi="Times New Roman"/>
          <w:b/>
          <w:bCs/>
          <w:sz w:val="20"/>
          <w:lang w:val="lv-LV"/>
        </w:rPr>
        <w:t>479,40 euro</w:t>
      </w:r>
      <w:r w:rsidRPr="00800489">
        <w:rPr>
          <w:rFonts w:ascii="Times New Roman" w:hAnsi="Times New Roman"/>
          <w:sz w:val="20"/>
          <w:lang w:val="lv-LV"/>
        </w:rPr>
        <w:t xml:space="preserve"> (2024. gadā – 466 euro), savukārt, piemērojot šobrīd spēkā esošo koeficientu 2, mājsaimniecības rīcībā paliktu </w:t>
      </w:r>
      <w:r w:rsidRPr="00800489">
        <w:rPr>
          <w:rFonts w:ascii="Times New Roman" w:hAnsi="Times New Roman"/>
          <w:b/>
          <w:bCs/>
          <w:sz w:val="20"/>
          <w:lang w:val="lv-LV"/>
        </w:rPr>
        <w:t>564 euro</w:t>
      </w:r>
      <w:r w:rsidRPr="00800489">
        <w:rPr>
          <w:rFonts w:ascii="Times New Roman" w:hAnsi="Times New Roman"/>
          <w:sz w:val="20"/>
          <w:lang w:val="lv-LV"/>
        </w:rPr>
        <w:t xml:space="preserve">. Pārējām mājsaimniecībām, pie kurām citstarp pieder arī ģimenes ar bērniem, aprēķinot mājokļa pabalstu, GMI slieksnim piemērojams koeficients 1,3. Rezultātā mājsaimniecībā, kurā ir viena darbspējīga persona un divi bērni, pēc mājokļa izdevumu apmaksas tās rīcībā 2025. gadā paliks </w:t>
      </w:r>
      <w:r w:rsidRPr="00800489">
        <w:rPr>
          <w:rFonts w:ascii="Times New Roman" w:hAnsi="Times New Roman"/>
          <w:b/>
          <w:bCs/>
          <w:sz w:val="20"/>
          <w:lang w:val="lv-LV"/>
        </w:rPr>
        <w:t>517,40 euro</w:t>
      </w:r>
      <w:r w:rsidRPr="00800489">
        <w:rPr>
          <w:rFonts w:ascii="Times New Roman" w:hAnsi="Times New Roman"/>
          <w:sz w:val="20"/>
          <w:lang w:val="lv-LV"/>
        </w:rPr>
        <w:t xml:space="preserve"> (2024. gadā 493,50 euro), bet piemērojot šobrīd spēkā esošo koeficientu 1,5, mājsaimniecības rīcībā paliktu </w:t>
      </w:r>
      <w:r w:rsidRPr="00800489">
        <w:rPr>
          <w:rFonts w:ascii="Times New Roman" w:hAnsi="Times New Roman"/>
          <w:b/>
          <w:bCs/>
          <w:sz w:val="20"/>
          <w:lang w:val="lv-LV"/>
        </w:rPr>
        <w:t>597 euro</w:t>
      </w:r>
      <w:r w:rsidRPr="00800489">
        <w:rPr>
          <w:rFonts w:ascii="Times New Roman" w:hAnsi="Times New Roman"/>
          <w:sz w:val="20"/>
          <w:lang w:val="lv-LV"/>
        </w:rPr>
        <w:t>.</w:t>
      </w:r>
      <w:r w:rsidRPr="00800489">
        <w:rPr>
          <w:rStyle w:val="FootnoteReference"/>
          <w:rFonts w:ascii="Times New Roman" w:hAnsi="Times New Roman"/>
          <w:sz w:val="20"/>
          <w:lang w:val="lv-LV"/>
        </w:rPr>
        <w:footnoteReference w:id="4"/>
      </w:r>
    </w:p>
    <w:p w14:paraId="5FFC1D38"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Tas nozīmē, ka pēc mājokļu izdevumu apmaksas personas rīcībā paliks mazāk ienākumu, nekā tad, ja koeficienti mājokļa pabalsta aprēķinā netiktu samazināti.</w:t>
      </w:r>
    </w:p>
    <w:p w14:paraId="65F9C4C8"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Vēlos vērst Saeimas uzmanību, ka 2025. gadā izmaiņas mājokļa pabalsta aprēķinā negatīvi ietekmēs ne tikai maznodrošinātās mājsaimniecības, bet arī daļu trūcīgās mājsaimniecības, it īpaši, atsevišķi dzīvojošas pensijas vecuma personas vai personas ar invaliditāti. Proti, 2025. gadā slieksnis trūcīgas mājsaimniecības statusa noteikšanai būs 377 euro (50% no 754,74 euro) pirmajai vai vienīgajai personai mājsaimniecībā un 264 euro pārējām personām mājsaimniecībā. Attiecīgi, divu personu mājsaimniecībai tas ir 641 euro, triju personu mājsaimniecībai – 905 euro.</w:t>
      </w:r>
    </w:p>
    <w:p w14:paraId="39FF2BE3"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[2.2] Latvijas Bērnu Labklājības Tīkla veiktajā aptaujā “Latvijas Ģimeņu barometrs 2024”</w:t>
      </w:r>
      <w:r w:rsidRPr="00800489">
        <w:rPr>
          <w:rStyle w:val="FootnoteReference"/>
          <w:rFonts w:ascii="Times New Roman" w:hAnsi="Times New Roman"/>
          <w:sz w:val="20"/>
          <w:lang w:val="lv-LV"/>
        </w:rPr>
        <w:footnoteReference w:id="5"/>
      </w:r>
      <w:r w:rsidRPr="00800489">
        <w:rPr>
          <w:rFonts w:ascii="Times New Roman" w:hAnsi="Times New Roman"/>
          <w:sz w:val="20"/>
          <w:lang w:val="lv-LV"/>
        </w:rPr>
        <w:t xml:space="preserve"> ir secināts, ka viena no aktuālākajām problēma, ar ko saskaras ģimenes saistībā ar mājokli, ir apgrūtināta mājokļa uzturēšanas izdevumu segšana. Kopumā 29% aptaujāto ģimeņu norādīja, ka izdevumi par mājokli ir liels finansiālais slogs un 19% to atzīmēja kā savu aktuālāko problēmu saistībā ar mājokli. Augstie izdevumi par mājokli īpaši aktuāli ir ģimenēm ar salīdzinoši zemiem ienākumiem (37% to atzīmēja kā sava mājokļa trūkumu), Rīgā dzīvojošām ģimenēm (36%), viena vecāka ģimenēm (35%) un ģimenēm, kurās aug bērns ar īpašām vajadzībām (35%).</w:t>
      </w:r>
      <w:r w:rsidRPr="00800489">
        <w:rPr>
          <w:rStyle w:val="FootnoteReference"/>
          <w:rFonts w:ascii="Times New Roman" w:hAnsi="Times New Roman"/>
          <w:sz w:val="20"/>
          <w:lang w:val="lv-LV"/>
        </w:rPr>
        <w:footnoteReference w:id="6"/>
      </w:r>
    </w:p>
    <w:p w14:paraId="0D436747"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Statistikas dati liecina, ka pagājušais, 2023. gads riska grupas ģimenēm, tādām kā viens pieaugušais ar bērniem, finansiālā ziņā bijis īpaši grūts, proti, 76% mājsaimniecību ir bijis apgrūtinoši (20% - ļoti apgrūtinoši, 56% - nedaudz apgrūtinoši) segt mājokļa izdevumus, mājokļa uzturēšanas izdevumi sastādīja 21% no mājsaimniecības rīcībā esošajiem ienākumiem (2022. gadā – 18%).</w:t>
      </w:r>
      <w:r w:rsidRPr="00800489">
        <w:rPr>
          <w:rStyle w:val="FootnoteReference"/>
          <w:rFonts w:ascii="Times New Roman" w:hAnsi="Times New Roman"/>
          <w:sz w:val="20"/>
          <w:lang w:val="lv-LV"/>
        </w:rPr>
        <w:footnoteReference w:id="7"/>
      </w:r>
    </w:p>
    <w:p w14:paraId="6DDDD107"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 xml:space="preserve">Tāpat jāatzīmē, ka ievērojami pieaudzis to mājsaimniecību īpatsvars, kuriem </w:t>
      </w:r>
      <w:r w:rsidRPr="00800489">
        <w:rPr>
          <w:rFonts w:ascii="Times New Roman" w:hAnsi="Times New Roman"/>
          <w:b/>
          <w:bCs/>
          <w:sz w:val="20"/>
          <w:lang w:val="lv-LV"/>
        </w:rPr>
        <w:t>mājokļa uzturēšanas izdevumi ir pārmērīgs finansiāls slogs</w:t>
      </w:r>
      <w:r w:rsidRPr="00800489">
        <w:rPr>
          <w:rFonts w:ascii="Times New Roman" w:hAnsi="Times New Roman"/>
          <w:sz w:val="20"/>
          <w:lang w:val="lv-LV"/>
        </w:rPr>
        <w:t xml:space="preserve"> (mājokļa izmaksas veido vairāk nekā 40 % no rīcībā esošiem ienākumiem). Proti, pārmērīgs finansiāls slogs 2023. gadā tas bija 20,2% vienas personas (65 gadi un vairāk) mājsaimniecībām (2022. gadā – 14,8%), 17,8% mājsaimniecībām ar vienu pieaugušo un bērniem (2022. gadā – 10,0%)</w:t>
      </w:r>
      <w:r w:rsidRPr="00800489">
        <w:rPr>
          <w:rStyle w:val="FootnoteReference"/>
          <w:rFonts w:ascii="Times New Roman" w:hAnsi="Times New Roman"/>
          <w:sz w:val="20"/>
          <w:lang w:val="lv-LV"/>
        </w:rPr>
        <w:footnoteReference w:id="8"/>
      </w:r>
      <w:r w:rsidRPr="00800489">
        <w:rPr>
          <w:rFonts w:ascii="Times New Roman" w:hAnsi="Times New Roman"/>
          <w:sz w:val="20"/>
          <w:lang w:val="lv-LV"/>
        </w:rPr>
        <w:t>.</w:t>
      </w:r>
    </w:p>
    <w:p w14:paraId="71A8E942"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lastRenderedPageBreak/>
        <w:t xml:space="preserve">[2.3] No Anotācijas izriet, ka mājokļa pabalsta aprēķināšanai izmantotie koeficienti ir samazināti, lai kompensētu pašvaldībām 2 procentpunktu GMI sliekšņa palielinājuma rezultātā radīto izdevumu pieaugumu, un šis </w:t>
      </w:r>
      <w:r w:rsidRPr="00800489">
        <w:rPr>
          <w:rFonts w:ascii="Times New Roman" w:hAnsi="Times New Roman"/>
          <w:b/>
          <w:bCs/>
          <w:sz w:val="20"/>
          <w:lang w:val="lv-LV"/>
        </w:rPr>
        <w:t>koeficientu samazinājums veikts, pamatojoties uz Latvijas Pašvaldību savienības pieprasījumu,</w:t>
      </w:r>
      <w:r w:rsidRPr="00800489">
        <w:rPr>
          <w:rFonts w:ascii="Times New Roman" w:hAnsi="Times New Roman"/>
          <w:sz w:val="20"/>
          <w:lang w:val="lv-LV"/>
        </w:rPr>
        <w:t xml:space="preserve"> un vienlaikus tas ļaus samazināt valsts līdzfinansējumu mājokļa pabalsta izdevumu kompensēšanai. </w:t>
      </w:r>
    </w:p>
    <w:p w14:paraId="78098295"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 xml:space="preserve">Uzskatu, ka valsts </w:t>
      </w:r>
      <w:r w:rsidRPr="00800489">
        <w:rPr>
          <w:rFonts w:ascii="Times New Roman" w:hAnsi="Times New Roman"/>
          <w:b/>
          <w:bCs/>
          <w:sz w:val="20"/>
          <w:lang w:val="lv-LV"/>
        </w:rPr>
        <w:t>finansiālās iespējas nevar kalpot par vienīgo kritēriju, izlemjot jautājumus, kas saistīti ar pamatvajadzību nodrošināšanu</w:t>
      </w:r>
      <w:r w:rsidRPr="00800489">
        <w:rPr>
          <w:rFonts w:ascii="Times New Roman" w:hAnsi="Times New Roman"/>
          <w:sz w:val="20"/>
          <w:lang w:val="lv-LV"/>
        </w:rPr>
        <w:t>. Anotācijā nav norādīts cits pamats koeficientu samazināšanai kā vien nepieciešamība samazināt mājokļa pabalsta izmaksai paredzēto finansējumu.</w:t>
      </w:r>
    </w:p>
    <w:p w14:paraId="1FE386D7"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Jāpiekrīt apgalvojumam, ka absolūtos lielumos sociālais atbalsts netiek samazināts, tomēr pieaugošas dzīves dārdzības apstākļos, sociālā atbalsta palielinājumam ir jābūt pamatotam un adekvātam.</w:t>
      </w:r>
    </w:p>
    <w:p w14:paraId="76B8B18E"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Tādējādi mājokļa pabalsta aprēķināšanai noteikto koeficientu samazināšana līdztekus ar citiem lēmumiem</w:t>
      </w:r>
      <w:r w:rsidRPr="00800489">
        <w:rPr>
          <w:rStyle w:val="FootnoteReference"/>
          <w:rFonts w:ascii="Times New Roman" w:hAnsi="Times New Roman"/>
          <w:sz w:val="20"/>
          <w:lang w:val="lv-LV"/>
        </w:rPr>
        <w:footnoteReference w:id="9"/>
      </w:r>
      <w:r w:rsidRPr="00800489">
        <w:rPr>
          <w:rFonts w:ascii="Times New Roman" w:hAnsi="Times New Roman"/>
          <w:sz w:val="20"/>
          <w:lang w:val="lv-LV"/>
        </w:rPr>
        <w:t xml:space="preserve"> sociālās aizsardzības jomā, drošticami </w:t>
      </w:r>
      <w:r w:rsidRPr="00800489">
        <w:rPr>
          <w:rFonts w:ascii="Times New Roman" w:hAnsi="Times New Roman"/>
          <w:b/>
          <w:bCs/>
          <w:sz w:val="20"/>
          <w:lang w:val="lv-LV"/>
        </w:rPr>
        <w:t>negatīvi ietekmēs Latvijas nabadzīgākos iedzīvotājus</w:t>
      </w:r>
      <w:r w:rsidRPr="00800489">
        <w:rPr>
          <w:rFonts w:ascii="Times New Roman" w:hAnsi="Times New Roman"/>
          <w:sz w:val="20"/>
          <w:lang w:val="lv-LV"/>
        </w:rPr>
        <w:t>, tostarp pensijas vecuma personas, personas ar invaliditāti un bērnus.</w:t>
      </w:r>
    </w:p>
    <w:p w14:paraId="2680916B"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 xml:space="preserve">[3] Papildus tam vēršu uzmanību, ka Satversmes tiesa ir atzinusi, ka no cilvēka cieņā balstītas sociāli atbildīgas valsts principa izriet valsts pienākums minimālo ienākumu sliekšņus noteikt pēc </w:t>
      </w:r>
      <w:r w:rsidRPr="00800489">
        <w:rPr>
          <w:rFonts w:ascii="Times New Roman" w:hAnsi="Times New Roman"/>
          <w:b/>
          <w:bCs/>
          <w:sz w:val="20"/>
          <w:lang w:val="lv-LV"/>
        </w:rPr>
        <w:t>pamatotas un argumentētas metodes</w:t>
      </w:r>
      <w:r w:rsidRPr="00800489">
        <w:rPr>
          <w:rFonts w:ascii="Times New Roman" w:hAnsi="Times New Roman"/>
          <w:sz w:val="20"/>
          <w:lang w:val="lv-LV"/>
        </w:rPr>
        <w:t>, jo tikai tādā veidā būs iespējams pārliecināties par to, ka noteiktais līmenis kalpo cilvēka cieņas aizsardzībai, sociālās nevienlīdzības izlīdzināšanai un valsts ilgtspējīgai attīstībai</w:t>
      </w:r>
      <w:r w:rsidRPr="00800489">
        <w:rPr>
          <w:rStyle w:val="FootnoteReference"/>
          <w:rFonts w:ascii="Times New Roman" w:hAnsi="Times New Roman"/>
          <w:sz w:val="20"/>
          <w:lang w:val="lv-LV"/>
        </w:rPr>
        <w:footnoteReference w:id="10"/>
      </w:r>
      <w:r w:rsidRPr="00800489">
        <w:rPr>
          <w:rFonts w:ascii="Times New Roman" w:hAnsi="Times New Roman"/>
          <w:sz w:val="20"/>
          <w:lang w:val="lv-LV"/>
        </w:rPr>
        <w:t>.</w:t>
      </w:r>
    </w:p>
    <w:p w14:paraId="2D578107" w14:textId="77777777" w:rsidR="0069405F" w:rsidRPr="00800489" w:rsidRDefault="0069405F" w:rsidP="0069405F">
      <w:pPr>
        <w:pStyle w:val="Header"/>
        <w:tabs>
          <w:tab w:val="center" w:pos="709"/>
        </w:tabs>
        <w:ind w:firstLine="567"/>
        <w:jc w:val="both"/>
        <w:rPr>
          <w:rFonts w:ascii="Times New Roman" w:hAnsi="Times New Roman"/>
          <w:sz w:val="20"/>
          <w:lang w:val="lv-LV"/>
        </w:rPr>
      </w:pPr>
      <w:r w:rsidRPr="00800489">
        <w:rPr>
          <w:rFonts w:ascii="Times New Roman" w:hAnsi="Times New Roman"/>
          <w:sz w:val="20"/>
          <w:lang w:val="lv-LV"/>
        </w:rPr>
        <w:t>Satversmes tiesa ir norādījusi, ka valsts garantētais sociālo tiesību nodrošinājuma apmērs var mainīties atkarībā no valsts rīcībā esošo finanšu līdzekļu apjoma. Tomēr neatkarīgi no ekonomiskās situācijas valstī likumdevējam ir saistošas Satversmē noteiktās personu pamattiesības</w:t>
      </w:r>
      <w:r w:rsidRPr="00800489">
        <w:rPr>
          <w:rStyle w:val="FootnoteReference"/>
          <w:rFonts w:ascii="Times New Roman" w:hAnsi="Times New Roman"/>
          <w:sz w:val="20"/>
          <w:lang w:val="lv-LV"/>
        </w:rPr>
        <w:footnoteReference w:id="11"/>
      </w:r>
      <w:r w:rsidRPr="00800489">
        <w:rPr>
          <w:rFonts w:ascii="Times New Roman" w:hAnsi="Times New Roman"/>
          <w:sz w:val="20"/>
          <w:lang w:val="lv-LV"/>
        </w:rPr>
        <w:t>. Arī ekonomiskās lejupslīdes apstākļos ir jānodrošina valsts iepriekš noteiktais pabalsts, bet, to samazinot, jāievēro samērīgums, t.i., valsts nevar atkāpties no iepriekš apsolītā, nostādot personu būtiski nelabvēlīgā situācijā un tādējādi nesamērīgi pārkāpjot personas tiesisko paļāvību uz valsts atbalstu.</w:t>
      </w:r>
      <w:r w:rsidRPr="00800489">
        <w:rPr>
          <w:rStyle w:val="FootnoteReference"/>
          <w:rFonts w:ascii="Times New Roman" w:hAnsi="Times New Roman"/>
          <w:sz w:val="20"/>
          <w:lang w:val="lv-LV"/>
        </w:rPr>
        <w:footnoteReference w:id="12"/>
      </w:r>
      <w:r w:rsidRPr="00800489">
        <w:rPr>
          <w:rFonts w:ascii="Times New Roman" w:hAnsi="Times New Roman"/>
          <w:sz w:val="20"/>
          <w:lang w:val="lv-LV"/>
        </w:rPr>
        <w:t xml:space="preserve"> Tieši ārkārtējos apstākļos pieaug sabiedrības interešu nozīmīgums un to nodrošināšanas nepieciešamība.</w:t>
      </w:r>
      <w:r w:rsidRPr="00800489">
        <w:rPr>
          <w:rStyle w:val="FootnoteReference"/>
          <w:rFonts w:ascii="Times New Roman" w:hAnsi="Times New Roman"/>
          <w:sz w:val="20"/>
          <w:lang w:val="lv-LV"/>
        </w:rPr>
        <w:footnoteReference w:id="13"/>
      </w:r>
    </w:p>
    <w:p w14:paraId="1C34C082" w14:textId="10FDA424" w:rsidR="006250ED" w:rsidRPr="0069405F" w:rsidRDefault="0069405F" w:rsidP="0069405F">
      <w:pPr>
        <w:ind w:firstLine="567"/>
        <w:jc w:val="both"/>
      </w:pPr>
      <w:r w:rsidRPr="00800489">
        <w:rPr>
          <w:b/>
          <w:bCs/>
          <w:sz w:val="20"/>
          <w:szCs w:val="20"/>
        </w:rPr>
        <w:t>Aicinu Saeimu, pieņemot lēmumu, rūpīgi izvērtēt, vai esošajā ekonomiskajā situācijā, ir sociāli atbildīgi un samērīgi mazināt sociālo atbalstu visnabadzīgākajai Latvijas iedzīvotāju daļai, ar to domājot ne vien GMI pabalsta saņēmējus, bet arī trūcīgas un maznodrošinātas ģimenes.</w:t>
      </w:r>
    </w:p>
    <w:sectPr w:rsidR="006250ED" w:rsidRPr="0069405F" w:rsidSect="0069405F">
      <w:footerReference w:type="default" r:id="rId8"/>
      <w:pgSz w:w="16838" w:h="11906" w:orient="landscape"/>
      <w:pgMar w:top="1474" w:right="851" w:bottom="119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C16FD" w14:textId="77777777" w:rsidR="00BA5735" w:rsidRDefault="00736673">
      <w:r>
        <w:separator/>
      </w:r>
    </w:p>
  </w:endnote>
  <w:endnote w:type="continuationSeparator" w:id="0">
    <w:p w14:paraId="27735611" w14:textId="77777777" w:rsidR="00BA5735" w:rsidRDefault="0073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Tilde">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515156"/>
      <w:docPartObj>
        <w:docPartGallery w:val="Page Numbers (Bottom of Page)"/>
        <w:docPartUnique/>
      </w:docPartObj>
    </w:sdtPr>
    <w:sdtEndPr>
      <w:rPr>
        <w:noProof/>
      </w:rPr>
    </w:sdtEndPr>
    <w:sdtContent>
      <w:p w14:paraId="7F28AB3A" w14:textId="77777777" w:rsidR="00F56307" w:rsidRDefault="001C36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3DC8DB" w14:textId="77777777" w:rsidR="00F56307" w:rsidRDefault="00F56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E1DAB" w14:textId="77777777" w:rsidR="00BA5735" w:rsidRDefault="00736673">
      <w:r>
        <w:separator/>
      </w:r>
    </w:p>
  </w:footnote>
  <w:footnote w:type="continuationSeparator" w:id="0">
    <w:p w14:paraId="0EDCEFC4" w14:textId="77777777" w:rsidR="00BA5735" w:rsidRDefault="00736673">
      <w:r>
        <w:continuationSeparator/>
      </w:r>
    </w:p>
  </w:footnote>
  <w:footnote w:id="1">
    <w:p w14:paraId="6D8EAE33"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2025. gadā GMI slieksnis un trūcīgas vai maznodrošinātas mājsaimniecības slieksnis tiks aprēķināts procentuālā apmērā (attiecīgi 22%, 50% un ne vairāk kā 80%) no Centrālās statistikas pārvaldes tīmekļvietnē publicētās minimālo ienākumu mediānas 2022. gadā – 754,74 euro. Sk. Oficiālās statistikas portālu. NNM080. Minimālo ienākumu (MIL) mediāna (ekvivalentais ienākums uz vienu mājsaimniecības locekli; skala 1, 0,7, 0,7) (eiro) 2004 – 2022.</w:t>
      </w:r>
    </w:p>
  </w:footnote>
  <w:footnote w:id="2">
    <w:p w14:paraId="15BDD26A"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Noteikumu projekts (24-TA-2210) “Grozījumi Ministru kabineta 2022. gada 21. jūnija noteikumos Nr. 381 "Eiropas Sociālā fonda Plus programmas materiālās nenodrošinātības mazināšanai 2021.–2027. gadam īstenošanas noteikumi"”. Pieejams: </w:t>
      </w:r>
      <w:hyperlink r:id="rId1" w:history="1">
        <w:r w:rsidRPr="00800489">
          <w:rPr>
            <w:rStyle w:val="Hyperlink"/>
            <w:rFonts w:ascii="Times New Roman" w:hAnsi="Times New Roman"/>
            <w:sz w:val="18"/>
            <w:szCs w:val="18"/>
          </w:rPr>
          <w:t>Tiesību aktu projektu publiskajā portālā</w:t>
        </w:r>
      </w:hyperlink>
      <w:r w:rsidRPr="00800489">
        <w:rPr>
          <w:rFonts w:ascii="Times New Roman" w:hAnsi="Times New Roman"/>
          <w:sz w:val="18"/>
          <w:szCs w:val="18"/>
        </w:rPr>
        <w:t>.</w:t>
      </w:r>
    </w:p>
  </w:footnote>
  <w:footnote w:id="3">
    <w:p w14:paraId="2E3DF7F6"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2024. gadā Latvijā ir 26 maltīšu izdales vietas 17 pašvaldībās. Salīdzinājumam, 2023. gadā bija 30 maltīšu izsniegšanas vietas 19 pašvaldībās. Galvenokārt tās atrodas pilsētās. Sk. informatīvo ziņojumu “Par Eiropas Sociālā fonda Plus programmas materiālās nenodrošinātības mazināšanai 2021.–2027. gadam finansēšanu 2025.–2027. gadā”.</w:t>
      </w:r>
    </w:p>
  </w:footnote>
  <w:footnote w:id="4">
    <w:p w14:paraId="1A5E6ED6" w14:textId="77777777" w:rsidR="0069405F" w:rsidRPr="00800489" w:rsidRDefault="0069405F" w:rsidP="0069405F">
      <w:pPr>
        <w:pStyle w:val="FootnoteText"/>
        <w:spacing w:line="240" w:lineRule="auto"/>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Sk. arī likumprojekta "Grozījumi Sociālo pakalpojumu un sociālās palīdzības likumā" sākotnējās ietekmes (ex-ante) novērtējuma ziņojumā (anotācija) 1.1. punktā iekļautos aprēķinus.</w:t>
      </w:r>
    </w:p>
  </w:footnote>
  <w:footnote w:id="5">
    <w:p w14:paraId="33CED2BF" w14:textId="77777777" w:rsidR="0069405F" w:rsidRPr="00800489" w:rsidRDefault="0069405F" w:rsidP="0069405F">
      <w:pPr>
        <w:pStyle w:val="FootnoteText"/>
        <w:spacing w:line="240" w:lineRule="auto"/>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Pieejama Latvijas Bērnu Labklājības Tīkla tīmekļa vietnē </w:t>
      </w:r>
      <w:hyperlink r:id="rId2" w:history="1">
        <w:r w:rsidRPr="00800489">
          <w:rPr>
            <w:rStyle w:val="Hyperlink"/>
            <w:rFonts w:ascii="Times New Roman" w:hAnsi="Times New Roman"/>
            <w:sz w:val="18"/>
            <w:szCs w:val="18"/>
          </w:rPr>
          <w:t>www.bernulabklajiba.lv</w:t>
        </w:r>
      </w:hyperlink>
      <w:r w:rsidRPr="00800489">
        <w:rPr>
          <w:rFonts w:ascii="Times New Roman" w:hAnsi="Times New Roman"/>
          <w:sz w:val="18"/>
          <w:szCs w:val="18"/>
        </w:rPr>
        <w:t xml:space="preserve">. </w:t>
      </w:r>
    </w:p>
  </w:footnote>
  <w:footnote w:id="6">
    <w:p w14:paraId="2077BC69" w14:textId="77777777" w:rsidR="0069405F" w:rsidRPr="00800489" w:rsidRDefault="0069405F" w:rsidP="0069405F">
      <w:pPr>
        <w:pStyle w:val="FootnoteText"/>
        <w:spacing w:line="240" w:lineRule="auto"/>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Aptaujas “Latvijas Ģimeņu barometrs 2024” rezultātu apkopojums.</w:t>
      </w:r>
    </w:p>
  </w:footnote>
  <w:footnote w:id="7">
    <w:p w14:paraId="2C83C583" w14:textId="77777777" w:rsidR="0069405F" w:rsidRPr="00800489" w:rsidRDefault="0069405F" w:rsidP="0069405F">
      <w:pPr>
        <w:pStyle w:val="FootnoteText"/>
        <w:spacing w:line="240" w:lineRule="auto"/>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Turpat.</w:t>
      </w:r>
    </w:p>
  </w:footnote>
  <w:footnote w:id="8">
    <w:p w14:paraId="563D035D"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Oficiālās statistikas portāls. MAI040. Mājsaimniecību īpatsvars, kurām mājokļa izdevumu segšana ir pārmērīgs slogs (procentos) – Rādītāji un Laika periods.</w:t>
      </w:r>
    </w:p>
  </w:footnote>
  <w:footnote w:id="9">
    <w:p w14:paraId="7DB6D947"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Piemēram, nav virzītas izmaiņas valsts sociālo pabalstu apmēra palielināšanai, atvieglojumi par apgādājamajiem paliek līdzšinējā apmērā – 250 euro mēnesī par katru apgādājamo.</w:t>
      </w:r>
    </w:p>
  </w:footnote>
  <w:footnote w:id="10">
    <w:p w14:paraId="6ABA7878"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Satversmes tiesas 2020. gada 25. jūnija spriedums lietā Nr. 2019-24-03, 2020. gada 9. jūlija spriedums lietā Nr. 2019-27-03 un 2020. gada 16. jūlija spriedums lietā Nr. 2019-25-03.</w:t>
      </w:r>
    </w:p>
  </w:footnote>
  <w:footnote w:id="11">
    <w:p w14:paraId="0EAC8138"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Satversmes tiesas 2009. gada 21. decembra spriedums lietā Nr. 2009-43-01, 24. punkts.</w:t>
      </w:r>
    </w:p>
  </w:footnote>
  <w:footnote w:id="12">
    <w:p w14:paraId="0AE5EADC"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Satversmes tiesas 2009. gada 15. marta spriedums lietā Nr. 2009-44-01, 16. punkts.</w:t>
      </w:r>
    </w:p>
  </w:footnote>
  <w:footnote w:id="13">
    <w:p w14:paraId="316F9F2A" w14:textId="77777777" w:rsidR="0069405F" w:rsidRPr="00800489" w:rsidRDefault="0069405F" w:rsidP="0069405F">
      <w:pPr>
        <w:pStyle w:val="FootnoteText"/>
        <w:spacing w:line="240" w:lineRule="auto"/>
        <w:jc w:val="both"/>
        <w:rPr>
          <w:rFonts w:ascii="Times New Roman" w:hAnsi="Times New Roman"/>
          <w:sz w:val="18"/>
          <w:szCs w:val="18"/>
        </w:rPr>
      </w:pPr>
      <w:r w:rsidRPr="00800489">
        <w:rPr>
          <w:rStyle w:val="FootnoteReference"/>
          <w:rFonts w:ascii="Times New Roman" w:hAnsi="Times New Roman"/>
          <w:sz w:val="18"/>
          <w:szCs w:val="18"/>
        </w:rPr>
        <w:footnoteRef/>
      </w:r>
      <w:r w:rsidRPr="00800489">
        <w:rPr>
          <w:rFonts w:ascii="Times New Roman" w:hAnsi="Times New Roman"/>
          <w:sz w:val="18"/>
          <w:szCs w:val="18"/>
        </w:rPr>
        <w:t xml:space="preserve"> Satversmes tiesas 2009. gada 26. novembra spriedums lietā Nr. 2009-08-01,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B5591"/>
    <w:multiLevelType w:val="hybridMultilevel"/>
    <w:tmpl w:val="FD3A320A"/>
    <w:lvl w:ilvl="0" w:tplc="5BF0793A">
      <w:start w:val="1"/>
      <w:numFmt w:val="decimal"/>
      <w:lvlText w:val="%1)"/>
      <w:lvlJc w:val="left"/>
      <w:pPr>
        <w:ind w:left="720" w:hanging="360"/>
      </w:pPr>
      <w:rPr>
        <w:rFonts w:hint="default"/>
      </w:rPr>
    </w:lvl>
    <w:lvl w:ilvl="1" w:tplc="2F08B46C" w:tentative="1">
      <w:start w:val="1"/>
      <w:numFmt w:val="lowerLetter"/>
      <w:lvlText w:val="%2."/>
      <w:lvlJc w:val="left"/>
      <w:pPr>
        <w:ind w:left="1440" w:hanging="360"/>
      </w:pPr>
    </w:lvl>
    <w:lvl w:ilvl="2" w:tplc="07AA51C2" w:tentative="1">
      <w:start w:val="1"/>
      <w:numFmt w:val="lowerRoman"/>
      <w:lvlText w:val="%3."/>
      <w:lvlJc w:val="right"/>
      <w:pPr>
        <w:ind w:left="2160" w:hanging="180"/>
      </w:pPr>
    </w:lvl>
    <w:lvl w:ilvl="3" w:tplc="14185398" w:tentative="1">
      <w:start w:val="1"/>
      <w:numFmt w:val="decimal"/>
      <w:lvlText w:val="%4."/>
      <w:lvlJc w:val="left"/>
      <w:pPr>
        <w:ind w:left="2880" w:hanging="360"/>
      </w:pPr>
    </w:lvl>
    <w:lvl w:ilvl="4" w:tplc="6C625C5A" w:tentative="1">
      <w:start w:val="1"/>
      <w:numFmt w:val="lowerLetter"/>
      <w:lvlText w:val="%5."/>
      <w:lvlJc w:val="left"/>
      <w:pPr>
        <w:ind w:left="3600" w:hanging="360"/>
      </w:pPr>
    </w:lvl>
    <w:lvl w:ilvl="5" w:tplc="856AB6E6" w:tentative="1">
      <w:start w:val="1"/>
      <w:numFmt w:val="lowerRoman"/>
      <w:lvlText w:val="%6."/>
      <w:lvlJc w:val="right"/>
      <w:pPr>
        <w:ind w:left="4320" w:hanging="180"/>
      </w:pPr>
    </w:lvl>
    <w:lvl w:ilvl="6" w:tplc="2F703F8E" w:tentative="1">
      <w:start w:val="1"/>
      <w:numFmt w:val="decimal"/>
      <w:lvlText w:val="%7."/>
      <w:lvlJc w:val="left"/>
      <w:pPr>
        <w:ind w:left="5040" w:hanging="360"/>
      </w:pPr>
    </w:lvl>
    <w:lvl w:ilvl="7" w:tplc="77682B08" w:tentative="1">
      <w:start w:val="1"/>
      <w:numFmt w:val="lowerLetter"/>
      <w:lvlText w:val="%8."/>
      <w:lvlJc w:val="left"/>
      <w:pPr>
        <w:ind w:left="5760" w:hanging="360"/>
      </w:pPr>
    </w:lvl>
    <w:lvl w:ilvl="8" w:tplc="2CDA0B9C" w:tentative="1">
      <w:start w:val="1"/>
      <w:numFmt w:val="lowerRoman"/>
      <w:lvlText w:val="%9."/>
      <w:lvlJc w:val="right"/>
      <w:pPr>
        <w:ind w:left="6480" w:hanging="180"/>
      </w:pPr>
    </w:lvl>
  </w:abstractNum>
  <w:abstractNum w:abstractNumId="1" w15:restartNumberingAfterBreak="0">
    <w:nsid w:val="19741DAD"/>
    <w:multiLevelType w:val="hybridMultilevel"/>
    <w:tmpl w:val="3872BAB0"/>
    <w:lvl w:ilvl="0" w:tplc="82A68212">
      <w:start w:val="1"/>
      <w:numFmt w:val="bullet"/>
      <w:lvlRestart w:val="0"/>
      <w:lvlText w:val=""/>
      <w:lvlJc w:val="left"/>
      <w:pPr>
        <w:ind w:left="0" w:firstLine="705"/>
      </w:pPr>
      <w:rPr>
        <w:u w:val="none"/>
      </w:rPr>
    </w:lvl>
    <w:lvl w:ilvl="1" w:tplc="67D4B510">
      <w:numFmt w:val="decimal"/>
      <w:lvlText w:val=""/>
      <w:lvlJc w:val="left"/>
    </w:lvl>
    <w:lvl w:ilvl="2" w:tplc="DD34B6DC">
      <w:numFmt w:val="decimal"/>
      <w:lvlText w:val=""/>
      <w:lvlJc w:val="left"/>
    </w:lvl>
    <w:lvl w:ilvl="3" w:tplc="C65A266C">
      <w:numFmt w:val="decimal"/>
      <w:lvlText w:val=""/>
      <w:lvlJc w:val="left"/>
    </w:lvl>
    <w:lvl w:ilvl="4" w:tplc="57908BB2">
      <w:numFmt w:val="decimal"/>
      <w:lvlText w:val=""/>
      <w:lvlJc w:val="left"/>
    </w:lvl>
    <w:lvl w:ilvl="5" w:tplc="8CD42EBA">
      <w:numFmt w:val="decimal"/>
      <w:lvlText w:val=""/>
      <w:lvlJc w:val="left"/>
    </w:lvl>
    <w:lvl w:ilvl="6" w:tplc="1500EC54">
      <w:numFmt w:val="decimal"/>
      <w:lvlText w:val=""/>
      <w:lvlJc w:val="left"/>
    </w:lvl>
    <w:lvl w:ilvl="7" w:tplc="0A84C934">
      <w:numFmt w:val="decimal"/>
      <w:lvlText w:val=""/>
      <w:lvlJc w:val="left"/>
    </w:lvl>
    <w:lvl w:ilvl="8" w:tplc="5790AF18">
      <w:numFmt w:val="decimal"/>
      <w:lvlText w:val=""/>
      <w:lvlJc w:val="left"/>
    </w:lvl>
  </w:abstractNum>
  <w:abstractNum w:abstractNumId="2" w15:restartNumberingAfterBreak="0">
    <w:nsid w:val="5F003E7F"/>
    <w:multiLevelType w:val="hybridMultilevel"/>
    <w:tmpl w:val="08CE2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064678">
    <w:abstractNumId w:val="1"/>
  </w:num>
  <w:num w:numId="2" w16cid:durableId="480389061">
    <w:abstractNumId w:val="2"/>
  </w:num>
  <w:num w:numId="3" w16cid:durableId="192159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26"/>
    <w:rsid w:val="000E4FB3"/>
    <w:rsid w:val="00152E5C"/>
    <w:rsid w:val="001C365A"/>
    <w:rsid w:val="001D0B52"/>
    <w:rsid w:val="0026281B"/>
    <w:rsid w:val="002803E0"/>
    <w:rsid w:val="004D5355"/>
    <w:rsid w:val="006250ED"/>
    <w:rsid w:val="0069405F"/>
    <w:rsid w:val="00736673"/>
    <w:rsid w:val="00A52812"/>
    <w:rsid w:val="00B3712E"/>
    <w:rsid w:val="00BA5735"/>
    <w:rsid w:val="00C74104"/>
    <w:rsid w:val="00D4431E"/>
    <w:rsid w:val="00DA4826"/>
    <w:rsid w:val="00E37A0A"/>
    <w:rsid w:val="00E87DCC"/>
    <w:rsid w:val="00EE0B80"/>
    <w:rsid w:val="00F563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70F67"/>
  <w15:chartTrackingRefBased/>
  <w15:docId w15:val="{B5E8AAAB-A1A2-4614-B062-956BE7B9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2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A4826"/>
    <w:rPr>
      <w:i/>
      <w:iCs/>
    </w:rPr>
  </w:style>
  <w:style w:type="paragraph" w:customStyle="1" w:styleId="naisvisr">
    <w:name w:val="naisvisr"/>
    <w:basedOn w:val="Normal"/>
    <w:rsid w:val="00DA4826"/>
    <w:pPr>
      <w:spacing w:before="100" w:beforeAutospacing="1" w:after="100" w:afterAutospacing="1"/>
    </w:pPr>
    <w:rPr>
      <w:rFonts w:eastAsia="Times New Roman"/>
      <w:szCs w:val="24"/>
      <w:lang w:eastAsia="lv-LV"/>
    </w:rPr>
  </w:style>
  <w:style w:type="paragraph" w:customStyle="1" w:styleId="paragraphheader">
    <w:name w:val="paragraph_header"/>
    <w:basedOn w:val="Normal"/>
    <w:next w:val="Normal"/>
    <w:rsid w:val="00DA4826"/>
    <w:pPr>
      <w:spacing w:before="280" w:after="280"/>
      <w:contextualSpacing/>
      <w:jc w:val="both"/>
    </w:pPr>
    <w:rPr>
      <w:rFonts w:eastAsia="Times New Roman"/>
      <w:color w:val="333333"/>
      <w:sz w:val="28"/>
      <w:szCs w:val="20"/>
      <w:lang w:eastAsia="lv-LV"/>
    </w:rPr>
  </w:style>
  <w:style w:type="paragraph" w:customStyle="1" w:styleId="paragraph">
    <w:name w:val="paragraph"/>
    <w:basedOn w:val="Normal"/>
    <w:next w:val="Normal"/>
    <w:rsid w:val="00DA4826"/>
    <w:pPr>
      <w:ind w:firstLine="705"/>
      <w:contextualSpacing/>
      <w:jc w:val="both"/>
    </w:pPr>
    <w:rPr>
      <w:rFonts w:eastAsia="Times New Roman"/>
      <w:color w:val="333333"/>
      <w:sz w:val="28"/>
      <w:szCs w:val="20"/>
      <w:lang w:eastAsia="lv-LV"/>
    </w:rPr>
  </w:style>
  <w:style w:type="paragraph" w:customStyle="1" w:styleId="tv213">
    <w:name w:val="tv213"/>
    <w:basedOn w:val="Normal"/>
    <w:rsid w:val="00DA4826"/>
    <w:pPr>
      <w:spacing w:before="100" w:beforeAutospacing="1" w:after="100" w:afterAutospacing="1"/>
    </w:pPr>
    <w:rPr>
      <w:rFonts w:eastAsia="Times New Roman"/>
      <w:szCs w:val="24"/>
      <w:lang w:eastAsia="lv-LV"/>
    </w:rPr>
  </w:style>
  <w:style w:type="paragraph" w:styleId="Footer">
    <w:name w:val="footer"/>
    <w:basedOn w:val="Normal"/>
    <w:link w:val="FooterChar"/>
    <w:uiPriority w:val="99"/>
    <w:unhideWhenUsed/>
    <w:rsid w:val="00DA4826"/>
    <w:pPr>
      <w:tabs>
        <w:tab w:val="center" w:pos="4153"/>
        <w:tab w:val="right" w:pos="8306"/>
      </w:tabs>
    </w:pPr>
  </w:style>
  <w:style w:type="character" w:customStyle="1" w:styleId="FooterChar">
    <w:name w:val="Footer Char"/>
    <w:basedOn w:val="DefaultParagraphFont"/>
    <w:link w:val="Footer"/>
    <w:uiPriority w:val="99"/>
    <w:rsid w:val="00DA4826"/>
    <w:rPr>
      <w:rFonts w:eastAsia="Calibri" w:cs="Times New Roman"/>
    </w:rPr>
  </w:style>
  <w:style w:type="character" w:styleId="Hyperlink">
    <w:name w:val="Hyperlink"/>
    <w:basedOn w:val="DefaultParagraphFont"/>
    <w:unhideWhenUsed/>
    <w:rsid w:val="00DA4826"/>
    <w:rPr>
      <w:color w:val="0000FF"/>
      <w:u w:val="single"/>
    </w:rPr>
  </w:style>
  <w:style w:type="paragraph" w:styleId="ListParagraph">
    <w:name w:val="List Paragraph"/>
    <w:basedOn w:val="Normal"/>
    <w:uiPriority w:val="34"/>
    <w:qFormat/>
    <w:rsid w:val="001D0B52"/>
    <w:pPr>
      <w:suppressAutoHyphens/>
      <w:spacing w:after="200" w:line="276" w:lineRule="auto"/>
      <w:ind w:left="720"/>
      <w:contextualSpacing/>
    </w:pPr>
    <w:rPr>
      <w:rFonts w:asciiTheme="minorHAnsi" w:eastAsiaTheme="minorHAnsi" w:hAnsiTheme="minorHAnsi" w:cstheme="minorBidi"/>
      <w:color w:val="00000A"/>
      <w:sz w:val="22"/>
    </w:rPr>
  </w:style>
  <w:style w:type="character" w:customStyle="1" w:styleId="apple-converted-space">
    <w:name w:val="apple-converted-space"/>
    <w:basedOn w:val="DefaultParagraphFont"/>
    <w:rsid w:val="001D0B52"/>
  </w:style>
  <w:style w:type="paragraph" w:styleId="Header">
    <w:name w:val="header"/>
    <w:basedOn w:val="Normal"/>
    <w:link w:val="HeaderChar"/>
    <w:uiPriority w:val="99"/>
    <w:rsid w:val="0069405F"/>
    <w:pPr>
      <w:tabs>
        <w:tab w:val="center" w:pos="4153"/>
        <w:tab w:val="right" w:pos="8306"/>
      </w:tabs>
    </w:pPr>
    <w:rPr>
      <w:rFonts w:ascii="Arial Tilde" w:eastAsia="Times New Roman" w:hAnsi="Arial Tilde"/>
      <w:sz w:val="22"/>
      <w:szCs w:val="20"/>
      <w:lang w:val="en-GB"/>
    </w:rPr>
  </w:style>
  <w:style w:type="character" w:customStyle="1" w:styleId="HeaderChar">
    <w:name w:val="Header Char"/>
    <w:basedOn w:val="DefaultParagraphFont"/>
    <w:link w:val="Header"/>
    <w:uiPriority w:val="99"/>
    <w:rsid w:val="0069405F"/>
    <w:rPr>
      <w:rFonts w:ascii="Arial Tilde" w:eastAsia="Times New Roman" w:hAnsi="Arial Tilde" w:cs="Times New Roman"/>
      <w:sz w:val="22"/>
      <w:szCs w:val="20"/>
      <w:lang w:val="en-GB"/>
    </w:rPr>
  </w:style>
  <w:style w:type="paragraph" w:styleId="FootnoteText">
    <w:name w:val="footnote text"/>
    <w:basedOn w:val="Normal"/>
    <w:link w:val="FootnoteTextChar"/>
    <w:rsid w:val="0069405F"/>
    <w:pPr>
      <w:spacing w:line="360" w:lineRule="auto"/>
    </w:pPr>
    <w:rPr>
      <w:rFonts w:asciiTheme="minorHAnsi" w:eastAsia="Times New Roman" w:hAnsiTheme="minorHAnsi"/>
      <w:sz w:val="20"/>
      <w:szCs w:val="20"/>
      <w:lang w:eastAsia="lv-LV"/>
    </w:rPr>
  </w:style>
  <w:style w:type="character" w:customStyle="1" w:styleId="FootnoteTextChar">
    <w:name w:val="Footnote Text Char"/>
    <w:basedOn w:val="DefaultParagraphFont"/>
    <w:link w:val="FootnoteText"/>
    <w:rsid w:val="0069405F"/>
    <w:rPr>
      <w:rFonts w:asciiTheme="minorHAnsi" w:eastAsia="Times New Roman" w:hAnsiTheme="minorHAnsi" w:cs="Times New Roman"/>
      <w:sz w:val="20"/>
      <w:szCs w:val="20"/>
      <w:lang w:eastAsia="lv-LV"/>
    </w:rPr>
  </w:style>
  <w:style w:type="character" w:styleId="FootnoteReference">
    <w:name w:val="footnote reference"/>
    <w:basedOn w:val="DefaultParagraphFont"/>
    <w:rsid w:val="0069405F"/>
    <w:rPr>
      <w:vertAlign w:val="superscript"/>
    </w:rPr>
  </w:style>
  <w:style w:type="paragraph" w:styleId="BalloonText">
    <w:name w:val="Balloon Text"/>
    <w:basedOn w:val="Normal"/>
    <w:link w:val="BalloonTextChar"/>
    <w:uiPriority w:val="99"/>
    <w:semiHidden/>
    <w:unhideWhenUsed/>
    <w:rsid w:val="00C741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10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045538">
      <w:bodyDiv w:val="1"/>
      <w:marLeft w:val="0"/>
      <w:marRight w:val="0"/>
      <w:marTop w:val="0"/>
      <w:marBottom w:val="0"/>
      <w:divBdr>
        <w:top w:val="none" w:sz="0" w:space="0" w:color="auto"/>
        <w:left w:val="none" w:sz="0" w:space="0" w:color="auto"/>
        <w:bottom w:val="none" w:sz="0" w:space="0" w:color="auto"/>
        <w:right w:val="none" w:sz="0" w:space="0" w:color="auto"/>
      </w:divBdr>
    </w:div>
    <w:div w:id="1141386605">
      <w:bodyDiv w:val="1"/>
      <w:marLeft w:val="0"/>
      <w:marRight w:val="0"/>
      <w:marTop w:val="0"/>
      <w:marBottom w:val="0"/>
      <w:divBdr>
        <w:top w:val="none" w:sz="0" w:space="0" w:color="auto"/>
        <w:left w:val="none" w:sz="0" w:space="0" w:color="auto"/>
        <w:bottom w:val="none" w:sz="0" w:space="0" w:color="auto"/>
        <w:right w:val="none" w:sz="0" w:space="0" w:color="auto"/>
      </w:divBdr>
    </w:div>
    <w:div w:id="1625039579">
      <w:bodyDiv w:val="1"/>
      <w:marLeft w:val="0"/>
      <w:marRight w:val="0"/>
      <w:marTop w:val="0"/>
      <w:marBottom w:val="0"/>
      <w:divBdr>
        <w:top w:val="none" w:sz="0" w:space="0" w:color="auto"/>
        <w:left w:val="none" w:sz="0" w:space="0" w:color="auto"/>
        <w:bottom w:val="none" w:sz="0" w:space="0" w:color="auto"/>
        <w:right w:val="none" w:sz="0" w:space="0" w:color="auto"/>
      </w:divBdr>
    </w:div>
    <w:div w:id="212546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bernulabklajiba.lv" TargetMode="External"/><Relationship Id="rId1" Type="http://schemas.openxmlformats.org/officeDocument/2006/relationships/hyperlink" Target="https://tapportals.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F430-B9C1-44E0-AF53-3BD44058A3E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12307</Words>
  <Characters>7016</Characters>
  <Application>Microsoft Office Word</Application>
  <DocSecurity>4</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BMN</cp:lastModifiedBy>
  <cp:revision>2</cp:revision>
  <cp:lastPrinted>2024-11-05T11:29:00Z</cp:lastPrinted>
  <dcterms:created xsi:type="dcterms:W3CDTF">2024-11-05T16:15:00Z</dcterms:created>
  <dcterms:modified xsi:type="dcterms:W3CDTF">2024-11-05T16:15:00Z</dcterms:modified>
</cp:coreProperties>
</file>