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24-TA-1022: Likumprojekts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Pakalpojumu drošuma 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atvieglotu izstrādātā likumprojekta piemērošanu un netiktu pavērtas plašas tā interpretācijas iespējas saistībā ar jēdzieniem "drošums", "drošība", "pakalpojums"  vai "drošs pakalpojums", lūdzam konkretizēt uz kuriem pakalpojumiem attiecināms likumprojekta regulējums vai arī noteikt izņēmumus -  pakalpojumus, uz kuriem likumprojektā ietvertais regulējums nebūs attiecināms. Pašlaik nerodas pārliecība, ka izstrādātais likumprojekts neskar plašāku pakalpojumu loku, piemēram, transporta nozares pakalpojumus, kuru ietvaros jānodrošina drošums un drošība (skatīt ar Ministru kabineta 2021.gada 21.oktobra rīkojumu Nr.710 apstiprinātās Transporta attīstības pamatnostādnes 2021. - 2027.gadam, kurās drošība un drošums ir minēts kā būtisks nosacījums transporta nozares pakalpojumu attīstībā).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 pants,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panta pirmā daļa paredz: "</w:t>
            </w:r>
            <w:r w:rsidR="00000000" w:rsidRPr="00000000" w:rsidDel="00000000">
              <w:rPr>
                <w:i w:val="1"/>
                <w:rtl w:val="0"/>
              </w:rPr>
              <w:t xml:space="preserve">Šis likums attiecas uz</w:t>
            </w:r>
            <w:r w:rsidR="00000000" w:rsidRPr="00000000" w:rsidDel="00000000">
              <w:rPr>
                <w:i w:val="1"/>
                <w:u w:val="single"/>
                <w:rtl w:val="0"/>
              </w:rPr>
              <w:t xml:space="preserve"> pakalpojumiem, kuriem noteiktas</w:t>
            </w:r>
            <w:r w:rsidR="00000000" w:rsidRPr="00000000" w:rsidDel="00000000">
              <w:rPr>
                <w:i w:val="1"/>
                <w:rtl w:val="0"/>
              </w:rPr>
              <w:t xml:space="preserve"> drošuma prasības vai nepieciešamie pasākumi riska mazināšanai vai novēršanai.</w:t>
            </w:r>
            <w:r w:rsidR="00000000" w:rsidRPr="00000000" w:rsidDel="00000000">
              <w:rPr>
                <w:rtl w:val="0"/>
              </w:rPr>
              <w:t xml:space="preserve">" Savukārt likumprojekta 2. panta otrā daļa paredz: "</w:t>
            </w:r>
            <w:r w:rsidR="00000000" w:rsidRPr="00000000" w:rsidDel="00000000">
              <w:rPr>
                <w:i w:val="1"/>
                <w:u w:val="single"/>
                <w:rtl w:val="0"/>
              </w:rPr>
              <w:t xml:space="preserve">Šā likuma prasības piemērojamas, ja</w:t>
            </w:r>
            <w:r w:rsidR="00000000" w:rsidRPr="00000000" w:rsidDel="00000000">
              <w:rPr>
                <w:i w:val="1"/>
                <w:rtl w:val="0"/>
              </w:rPr>
              <w:t xml:space="preserve"> speciālās tiesību normas nenosaka citas pakalpojumu drošuma prasības, tajā skaitā citus riskus vai citu risku kategorijas un to novēršanas veidus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 atkārtoti lūdzam precizēt likumprojekta 2. pantā paredzēto likuma piemērošanas jomu un tā anotācijā sniegto informāciju, ņemot vērā turpmāk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privātpersonām likuma piemērošanas joma būtu nepārprotama un skaidra, nepieciešams izslēgt pašreiz likumprojekta 2. panta pirmajā daļā ietverto regulējumu un, ja nepieciešams, konkretizēt, uz kādiem pakalpojumiem likums attiecas. Atkārtoti norādām, ka likumprojekta 2. panta pirmajā daļā paredzētā likuma piemērošanas joma ir ne tikai nekonkrēta un neskaidra, bet, ņemot vērā anotācijā ietvertos skaidrojumus, - arī neatbilstoša Latvijas tiesību sistēmai. No anotācijā ietvertā skaidrojuma (piemēram: "</w:t>
            </w:r>
            <w:r w:rsidR="00000000" w:rsidRPr="00000000" w:rsidDel="00000000">
              <w:rPr>
                <w:i w:val="1"/>
                <w:rtl w:val="0"/>
              </w:rPr>
              <w:t xml:space="preserve">Iepriekš Preču un pakalpojumu drošuma likuma 3.panta pirmajā daļā pakalpojumu uzskaitījums bija pārāk šaurs. Tas galvenokārt noteica tādus pakalpojumus, kur pēc pasūtījuma tiek izgatavota vai remontēta kāda lieta. Tā kā pēdējos gados ir ļoti attīstījušies dažādi ar izklaidi saistīti pakalpojumi, kā spēļu laukumi, slēpošanas trases un cits, tad būtiski mainījies ir arī ar pakalpojumiem saistītais normatīvais regulējums, kā, piemēram, 2020.gada 7.janvārī tika izdoti Ministru kabineta noteikumi Nr.18  “Spēļu un rekreācijas laukumu drošuma noteikumi”, </w:t>
            </w:r>
            <w:r w:rsidR="00000000" w:rsidRPr="00000000" w:rsidDel="00000000">
              <w:rPr>
                <w:i w:val="1"/>
                <w:u w:val="single"/>
                <w:rtl w:val="0"/>
              </w:rPr>
              <w:t xml:space="preserve">tāpat vairākās jomās ir izdotas arī vadlīnijas</w:t>
            </w:r>
            <w:r w:rsidR="00000000" w:rsidRPr="00000000" w:rsidDel="00000000">
              <w:rPr>
                <w:i w:val="1"/>
                <w:rtl w:val="0"/>
              </w:rPr>
              <w:t xml:space="preserve">, piemēram, slēpošanas trasēm</w:t>
            </w:r>
            <w:r w:rsidR="00000000" w:rsidRPr="00000000" w:rsidDel="00000000">
              <w:rPr>
                <w:rtl w:val="0"/>
              </w:rPr>
              <w:t xml:space="preserve">.") var secināt, ka likumprojekta 2. panta pirmās daļu domāts attiecināt arī uz pakalpojumiem, kuriem prasības noteiktas tikai nesaistošos dokumentos (sk. arī likumprojekta 10. pantu). Atgādinām, ka privātpersonām saistošas prasības nosakāmas ārējos normatīvajos aktos, un privātpersonai nevar uzlikt par pienākumu ievērot juridiski nesaistošus dokumentus. Attiecīgi šāds regulējums neatbilst Latvijas Republikas Satversmes 100. pantā paredzētajām tiesībām zināt savas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2)likumprojekta 2. panta pirmo daļu nepieciešams precizēt, atkarībā no mērķa nosakot, uz kādiem pakalpojumiem likums attiecas. Citastarp vēršam uzmanību, ka šobrīd likumprojektā vairs nav ietverta norāde, ka likums attiecas uz pakalpojumiem, kuri tiek sniegti patērētājam, tomēr uz minēto norādīts likumprojekta anotācijā. Attiecīgi, ja nepieciešams konkretizēt, uz kādiem pakalpojumiem likums attiecas, lūdzam to noteikt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likumprojekta 2. panta otro daļu nepieciešams izslēgt vai citādi atbilstoši novērst pretrunu 2. panta otrajā daļā, vai arī sniegt pamatotu skaidrojumu. Proti, ja ar "speciālajām tiesību normām, kuras nosaka citas pakalpojumu drošuma prasības, tajā skaitā citus riskus vai citu risku kategorijas un to novēršanas veidus", ir saprotami Ministru kabineta noteikumi, kas tiks izdoti uz likumprojekta 7. pantā ietvertā pilnvarojuma pamata, tad likumprojekta 2. panta otro daļu nepieciešams izslēgt kā pretrunīgu. Papildus lūdzam skaidrot, kur un kādas pakalpojumu drošuma prasības, tajā skaitā riski vai risku kategorijas un to novēršanas veidi, ir noteikti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reizē ņemot vērā iepriekš minētos apsvērumus par likumprojekta 2. panta pirmo daļu, līdzīgi nepieciešams izvērtēt un skaidrot, par kādiem normatīvajiem aktiem ir runa likumprojekta 2. panta pirmajā daļā, un, ja domāti Ministru kabineta noteikumi, kas tiks izdoti uz likumprojekta 7. pantā ietvertā pilnvarojuma pamata, tad arī likumprojekta 2. panta pirmā daļa būtu izslēdzama kā pašsaprotama.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 pants, nosakot, ka šo likumu piemēro tādiem pakalpojumiem, attiecībā uz kuriem normatīvajos aktos noteiktas drošuma prasības vai nepieciešamie pasākumi riska mazināšanai vai novēršanai, vai attiecībā uz kuriem pastāv piemērojamie standarti, kuri iekļauti saskaņā ar šo likumu publicētajā sarakstā.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Šis likums attiecas uz pakalpojumiem, attiecībā uz kuriem: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likumprojekta 2. pantā noteikto likuma piemērošanas jomu, ņemot vērā turpmāk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izvērtēt un precizēt likumprojektā vai skaidrot anotācijā, par kādiem normatīvajiem aktiem likumprojekta 2. panta 1. punktā ir runa. Ja domāti uz likumprojektā ietvertā pilnvarojuma pamata izdoti Ministru kabineta noteikumi, tad ir pašsaprotami, ka likums attiecas uz šādiem pakalpojumiem, un šāda norāde ir lieka;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likumprojekta 2. panta 1. punkta faktiski izriet, ka likuma piemērošana ir atkarīga no citos normatīvajos aktos (tostarp, pirmšķietami ar to domājot arī Ministru kabineta noteikumus) noteiktā, kas nav atbilstoši tiesību sistēmai. Atgādinām, ka likumprojektā, ja nepieciešams, ietver pilnvarojumu Ministru kabinetam </w:t>
            </w:r>
            <w:r w:rsidR="00000000" w:rsidRPr="00000000" w:rsidDel="00000000">
              <w:rPr>
                <w:u w:val="single"/>
                <w:rtl w:val="0"/>
              </w:rPr>
              <w:t xml:space="preserve">likumprojekta izpildes nodrošināšanai</w:t>
            </w:r>
            <w:r w:rsidR="00000000" w:rsidRPr="00000000" w:rsidDel="00000000">
              <w:rPr>
                <w:rtl w:val="0"/>
              </w:rPr>
              <w:t xml:space="preserve"> izdot ārēju normatīvo aktu – noteikumus (sk. Ministru kabineta 2009.gada 3.februāra noteikumu Nr.108 "Normatīvo aktu projektu sagatavošanas noteikumi" 45. punktu). Attiecīgi pašā likumā nosakāma tā piemērošanas joma un ietvars. Pretējā gadījumā veidotos sistēmiski nekorekts regulējums, padarot likumprojekta piemērošanas jomu atkarīgu no citos normatīvajos aktos, tostarp zemāka juridiskā spēka normatīvajos aktos, noteiktā;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arī iepriekš paustos apsvērumus, kā arī to, ka no likumprojekta 4. panta trešās daļas izriet standarti brīvprātīga piemērojamība, lūdzam izvērtēt arī likumprojekta 2. panta 2. punktu, kā arī 4. panta otro daļu. Kā arī norādām, ka no likumprojekta 2. panta un 4. panta otrās daļas redakcijas nav viennozīmīgi secināms, kā piemērojami abi nosacījumi (proti, vai 2. punktu piemēro tad, ja neizpildās 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pašreiz likumprojektā ietvertā regulējuma vietā aicinām izvērtēt, vai likumprojektu nevajadzētu piemērot visiem pakalpojumiem, kas tiek sniegti patērētājiem, ņemot vērā, ka visiem pakalpojumiem būtu jābūt drošiem, attiecīgi arī nosakot likumprojektā vispārējas drošuma prasības visiem pakalpojumiem. Savukārt speciālas drošuma prasības pakalpojumiem, ja nepieciešams, var noteikt uz likumprojekta pamata izdotajos Ministru kabineta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 pants un anotācijas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Šis likums attiecas uz pakalpojumiem, kuru rezultātā pakalpojuma sniedzējs izgatavo jaunu ķermenisku lietu, uzlabo vai pārveido esošu ķermenisku lietu vai tās īpašības, kā arī uz pakalpojumiem, kuriem ir tieša vai netieša ietekme uz cilvēka dzīvību vai veselību.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Šis likums attiecas uz pakalpojumiem, kuriem noteiktas drošuma prasības vai nepieciešamie pasākumi riska mazināšanai vai novēršanai.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3. panta pirmajā daļā noteikto likuma piemērošanas jomu, konkrēti nosakot, uz kādiem pakalpojumiem likums attiecas. Salīdzinot ar Preču un pakalpojumu drošuma likuma 3. panta otro daļu, kas konkrēti noteica, uz kādiem pakalpojumiem likums attiecas ("</w:t>
            </w:r>
            <w:r w:rsidR="00000000" w:rsidRPr="00000000" w:rsidDel="00000000">
              <w:rPr>
                <w:i w:val="1"/>
                <w:rtl w:val="0"/>
              </w:rPr>
              <w:t xml:space="preserve">Šis likums attiecas uz pakalpojumiem, kuru rezultātā pakalpojuma sniedzējs izgatavo jaunu ķermenisku lietu, uzlabo vai pārveido esošu ķermenisku lietu vai tās īpašības, kā arī uz pakalpojumiem, kuriem ir tieša vai netieša ietekme uz cilvēka dzīvību vai veselību</w:t>
            </w:r>
            <w:r w:rsidR="00000000" w:rsidRPr="00000000" w:rsidDel="00000000">
              <w:rPr>
                <w:rtl w:val="0"/>
              </w:rPr>
              <w:t xml:space="preserve">."), likumprojekta 3. panta pirmā daļa vispārīgi nosaka: "</w:t>
            </w:r>
            <w:r w:rsidR="00000000" w:rsidRPr="00000000" w:rsidDel="00000000">
              <w:rPr>
                <w:i w:val="1"/>
                <w:rtl w:val="0"/>
              </w:rPr>
              <w:t xml:space="preserve">Šis likums attiecas uz pakalpojumiem, kuriem noteiktas drošuma prasības vai nepieciešamie pasākumi riska mazināšanai vai novēršanai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anotācijā ietvertajiem skaidrojumiem šāda likuma piemērošanas joma ir ne tikai nekonkrēta un neskaidra, bet arī pirmšķietami neatbilstoša Latvijas tiesību sistēmai. No anotācijā ietvertā skaidrojuma ("</w:t>
            </w:r>
            <w:r w:rsidR="00000000" w:rsidRPr="00000000" w:rsidDel="00000000">
              <w:rPr>
                <w:i w:val="1"/>
                <w:rtl w:val="0"/>
              </w:rPr>
              <w:t xml:space="preserve">Pakalpojumu drošumu iespējams ieviest un uzraudzīt jomās, kurās noteiktas prasības vai pasākumi riska novēršanai. </w:t>
            </w:r>
            <w:r w:rsidR="00000000" w:rsidRPr="00000000" w:rsidDel="00000000">
              <w:rPr>
                <w:i w:val="1"/>
                <w:u w:val="single"/>
                <w:rtl w:val="0"/>
              </w:rPr>
              <w:t xml:space="preserve">Šādas prasības var būt noteiktas speciālajos nozaru regulējumos, standartos, labās prakses vadlīnijās, nozaru labās prakses kodeksos, kā arī zinātnisko struktūru un ekspertu atzinumos</w:t>
            </w:r>
            <w:r w:rsidR="00000000" w:rsidRPr="00000000" w:rsidDel="00000000">
              <w:rPr>
                <w:i w:val="1"/>
                <w:rtl w:val="0"/>
              </w:rPr>
              <w:t xml:space="preserve">.</w:t>
            </w:r>
            <w:r w:rsidR="00000000" w:rsidRPr="00000000" w:rsidDel="00000000">
              <w:rPr>
                <w:rtl w:val="0"/>
              </w:rPr>
              <w:t xml:space="preserve">") izriet, ka likumprojekta 3. panta pirmās daļas kontekstā ir runa par pakalpojumiem, kuriem prasības noteiktas citstarp tādos dokumentos kā standartos, labās prakses vadlīnijās, nozaru labās prakses kodeksos, kā arī zinātnisko struktūru un ekspertu atzinumos. Atgādinām, ka privātpersonām saistošas prasības nosakāmas ārējos normatīvajos aktos. No anotācijā ietvertā skaidrojuma izriet, ka, ja attiecīga pakalpojuma sniegšanai kādas drošuma prasības paredzētas, piemēram, labās prakses vadlīnijās, kas privātpersonai nav saistošas, uz šādu pakalpojumu būtu attiecināms likums.  Attiecīgi šāds regulējums pirmšķietami neatbilst Latvijas Republikas Satversmes 100. pantā paredzētajām tiesībām zināt savas tiesības. Lūdzam precizēt likumprojektu un anotāciju vai sniegt pamatotu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saistībā ar anotācijā norādīto ("</w:t>
            </w:r>
            <w:r w:rsidR="00000000" w:rsidRPr="00000000" w:rsidDel="00000000">
              <w:rPr>
                <w:i w:val="1"/>
                <w:rtl w:val="0"/>
              </w:rPr>
              <w:t xml:space="preserve">precizēta likuma piemērošana [..]. Šāds </w:t>
            </w:r>
            <w:r w:rsidR="00000000" w:rsidRPr="00000000" w:rsidDel="00000000">
              <w:rPr>
                <w:i w:val="1"/>
                <w:rtl w:val="0"/>
              </w:rPr>
              <w:t xml:space="preserve">precizējums nepieciešams, lai atvieglotu likuma piemērošanu, kā arī radītu tiesisko noteiktību komersantiem, kam jānodrošina drošu pakalpojumu sniegšana.</w:t>
            </w:r>
            <w:r w:rsidR="00000000" w:rsidRPr="00000000" w:rsidDel="00000000">
              <w:rPr>
                <w:rtl w:val="0"/>
              </w:rPr>
              <w:t xml:space="preserve">") lūdzam skaidrot, kādu problēmu tieši šādas likuma piemērošanas jomas noteikšana risina, kā arī lūdzam izvērtēt un skaidrot, kā tieši šāds formulējums rada tiesisko noteiktību komersantiem. Tāpat arī lūdzam skaidrot, kā pēc būtības mainās pakalpojumu loks un tvērums, uz kuriem attiecas likumprojekts, salīdzinot ar pašreiz spēkā esošo Preču un pakalpojumu drošuma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likumprojekta 3. panta pirmo daļu un anotāciju. Alternatīvi lūdzam sniegt pamatotu skaidrojumu anotācijā par likuma piemērošanas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likumprojekta 1.pantā ir norādīts, ka Likuma mērķis ir panākt drošu, cilvēka dzīvībai, veselībai un personas mantai, kā arī videi nekaitīgu pakalpojumu sniegšanu. Savukārt Likumprojekta 3.panta pirmās daļas mērķis ir sašaurināt tvērumu, norādot, ka šis likums attiecas tikai uz tādiem pakalpojumiem, kuriem ir noteiktas drošuma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norādi par to, ka ar anotācijā ietvertajiem skaidrojumiem šāda likuma piemērošanas joma ir ne tikai nekonkrēta un neskaidra, bet arī pirmšķietami neatbilstoša Latvijas tiesību sistēmai, kā arī ka privātpersonām saistošas prasības nosakāmas ārējos normatīvajos aktos, norādām, ka iepriekš Preču un pakalpojumu drošuma likuma 3.panta pirmajā daļā pakalpojumu uzskaitījums bija pārāk šaurs. Tas galvenokārt noteica tādus pakalpojumus, kur pēc pasūtījuma tiek izgatavota vai remontēta kāda lieta. Tā kā pēdējos gados ir ļoti attīstījušies dažādi ar izklaidi saistīti pakalpojumi, kā spēļu laukumi, slēpošanas trases un cits, tad būtiski mainījies ir arī ar pakalpojumiem saistītais normatīvais regulējums, kā, piemēram, 2020.gaa 7.janvārī tika izdoti Noteikumi Nr.18  “Spēļu un rekreācijas laukumu drošuma noteikumi”, tāpat vairākās jomās ir izdotas arī vadlīnijas, piemēram, slēpošanas trasēm. Līdz ar to iepriekšējā  pakalpojuma definīcija vairs neatbilst pašreizējai situācijai, savukārt izveidot jaunu, kurā būtu uzskaitīti visi pakalpojumi, nav iespējams, jo būs pārāk garš formulējums, tādēļ likumā nepieciešams sašaurināt tvērumu norādot, ka šis likums attiecas tikai uz tādiem pakalpojumiem, kuriem ir noteiktas drošuma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iebildumu daļā par speciālajiem nozaru regulējumiem, standartiem, labās prakses vadlīnijām, nozaru labās prakses kodeksiem, kā arī zinātnisko struktūru un ekspertu atzinumiem, norādām, ka precizēts Likumprojekta 4. un 10.pants. Vērtējot pakalpojuma atbilstību drošuma prasībām, ja citos normatīvajos aktos nav noteiktas šādas prasības, tirgus uzraudzības iestādes ņem vērā standartus, kas noteikti pakalpojumu drošuma jomā, tirgus uzraudzības iestāžu izstrādātas labās prakses vadlīnijas, nozaru labās prakses kodeksus, kas saskaņoti ar atbildīgo tirgus uzraudzības iestādi, kā arī jaunākos zinātnes un tehnikas līmeņa sasniegumus, kā arī zinātnisko struktūru un ekspertu atzinumus. Tas nozīmē, ka likumprojekts pieļauj šādu iespējamību tikai tādos gadījumos, ja speciālas drošuma prasības pakalpojumiem vai speciālas prasības attiecībā uz noteiktu ar pakalpojuma izmantošanu saistītu risku vai drošuma aspektiem nav noteiktas ne šajā, ne citos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Šis likums attiecas uz pakalpojumiem, kuru rezultātā pakalpojuma sniedzējs izgatavo jaunu ķermenisku lietu, uzlabo vai pārveido esošu ķermenisku lietu vai tās īpašības, kā arī uz pakalpojumiem, kuriem ir tieša vai netieša ietekme uz cilvēka dzīvību vai veselību.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pakalpojuma sniedzējam kļuvis zināms vai viņam kā lietpratējam vajadzēja zināt, ka pakalpojums rada risku, kas nav savienojams ar vispārējām drošuma prasībām, pakalpojuma sniedzējam par to ir nekavējoties jāinformē attiecīgās valsts uzraudzības un kontroles iestādes. Šis nosacījums īpaši attiecas uz tiem pasākumiem, kuri veicami, lai novērstu risku patērētājiem.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Apzināmies, ka analoģiska satura norma jau ir ietverta Preču un pakalpojumu drošuma likuma 8. panta sestajā daļā, tomēr lūdzam izvērtēt un skaidrot vārdu "vai viņam kā lietpratējam vajadzēja zināt" nepieciešamību likumprojekta 7. panta trešajā daļā, kā arī izvērtēt, vai nerodas pretruna. Proti, no vārdiem "vajadzēja zināt" izriet, ka personai attiecīgā informācija nav zināma, kaut arī vajadzēja zināt. Attiecīgi nav saprotams, kā persona var par kaut ko informēt attiecīgās valsts uzraudzības un kontroles iestādes, ja tā attiecīgo informāciju nezina. Savukārt, ja persona attiecīgo informāciju zina, šo gadījumu jau aptver frāze "ja pakalpojuma sniedzējam kļuvis zināms". Attiecīgi lūdzam izvērtēt un, ja nepieciešams, precizēt normu vai sniegt skaidrojumu par tās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 sankciju piemērošanas viedokļa ir saprotama norāde, ka nevar ziņot par to, ko pakalpojuma sniedzējs nav zinājis. Tomēr likumprojekta 4.panta trešajā daļā pakalpojumu sniedzējam paredzēts pienākums regulāri pārvērtēt riskus, kas saistīti ar pakalpojuma sniegšanu. Kā, piemēram, regulāri veikt rotaļu laukuma tehnisko novērtējumu. Pakalpojuma sniedzējam kā profesionālim visu laiku ir jāvērtē riski atkarībā no situācijas (rotaļu iekārtas nolietojums). Attiecīgi būtiski saglabāt šo piebildi, lai pakalpojuma sniedzējs nevarētu izvairīties no atbildības ar atrunu par nezināšanu.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pakalpojuma sniedzējam kļuvis zināms vai viņam kā lietpratējam vajadzēja zināt, ka pakalpojums rada risku, kas nav savienojams ar šajā likumā un citos uz attiecīgo pakalpojumu attiecināmajos normatīvajos aktos noteiktajām drošuma prasībām, pakalpojuma sniedzējam par to ir nekavējoties jāinformē attiecīgās valsts uzraudzības un kontroles iestādes (turpmāk – tirgus uzraudzības iestādes). Šis nosacījums īpaši attiecas uz tiem pasākumiem, kuri veicami, lai novērstu risku patērētājiem.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Nopietna riska gadījumā pakalpojuma sniedzējam ir pienākums sniegt vismaz: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7. panta piekto daļu, konkrēti nosakot, </w:t>
            </w:r>
            <w:r w:rsidR="00000000" w:rsidRPr="00000000" w:rsidDel="00000000">
              <w:rPr>
                <w:u w:val="single"/>
                <w:rtl w:val="0"/>
              </w:rPr>
              <w:t xml:space="preserve">kam</w:t>
            </w:r>
            <w:r w:rsidR="00000000" w:rsidRPr="00000000" w:rsidDel="00000000">
              <w:rPr>
                <w:rtl w:val="0"/>
              </w:rPr>
              <w:t xml:space="preserve"> pakalpojuma sniedzējs sniedz attiecīgo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6.panta piektā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Nopietna riska gadījumā pakalpojuma sniedzējam ir pienākums tirgus uzraudzības iestādēm sniegt vismaz:</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Pakalpojumu drošuma kontrole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uzturam Tieslietu ministrijas 05.11.2024 atzinumā pausto iebildumu Nr.2. Lūdzam sistēmiski izvērtēt un nošķirt iestādes uzraudzības un kontroles funkcijas, kas ir īstenojamas administratīvā procesa ietvaros, no iestāžu tiesībām administratīvā pārkāpuma procesā un novērst regulējumu, ka iestāde vienlaikus attiecībā uz personu par vienu un to pašu darbību vai bezdarbību var uzsākt divus dažādus procesus - administratīvo procesu (kontroles un uzraudzības ietvaros), kā arī administratīvā pārkāpuma procesu.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atkārtoti aicinām rūpīgi pārdomāt regulējumu, nodrošinot, ka administratīvā atbildība likumprojektā tiek paredzēta par pārkāpumiem, kuri vairs nav novēršami un ir ar augstu bīstamības pakāpi, tādējādi nošķirot administratīvo procesu no administratīvā pārkāpuma procesa.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IV nodaļa par administratīvo atbildību.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Pakalpojumu drošuma kontrole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Tirgus uzraudzības iestāžu amatpersonas, īstenojot šajā likumā paredzēto tirgus uzraudzību un kontroli, savas kompetences ietvaros ir tiesīgas: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sistēmiski izvērtēt un nošķirt iestādes uzraudzības un kontroles funkcijas, kas ir īstenojamas administratīvā procesa ietvaros, no iestāžu tiesībām administratīvā pārkāpuma procesā</w:t>
            </w:r>
            <w:r w:rsidR="00000000" w:rsidRPr="00000000" w:rsidDel="00000000">
              <w:rPr>
                <w:rtl w:val="0"/>
              </w:rPr>
              <w:t xml:space="preserve"> </w:t>
            </w:r>
            <w:r w:rsidR="00000000" w:rsidRPr="00000000" w:rsidDel="00000000">
              <w:rPr>
                <w:b w:val="1"/>
                <w:rtl w:val="0"/>
              </w:rPr>
              <w:t xml:space="preserve">un novērst regulējumu, ka iestāde vienlaikus attiecībā uz personu par vienu un to pašu darbību vai bezdarbību var uzsākt divus dažādus procesus</w:t>
            </w:r>
            <w:r w:rsidR="00000000" w:rsidRPr="00000000" w:rsidDel="00000000">
              <w:rPr>
                <w:rtl w:val="0"/>
              </w:rPr>
              <w:t xml:space="preserve"> - šajā gadījumā administratīvo procesu (kontroles un uzraudzības ietvaros), kā arī atbilstoši likumprojekta 15. pantam administratīvā pārkāpuma procesu, ja kontroles un uzraudzības ietvaros konstatē, ka likumā noteiktās prasības nav ievērotas. Tā, piemēram, no likumprojekta izriet, ka par pakalpojuma drošuma prasību neievērošanu personai var tikt piemērota administratīvā atbildība. Vienlaikus gadījumā, ja iestādei ir aizdomas par pakalpojuma neatbilstību drošuma prasībām, iestāde var apturēt pakalpojuma sniegšanu uz laiku. Norādām, ka šāds regulējums neatbilst tiesību sistēmai.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Izvērtējums veikts. Administratīvais process regulē attiecības starp iestādi un privātpersonu, koncentrējoties uz tiesību un pienākumu izveidi, grozīšanu vai izbeigšanu ar administratīvā akta starpniecību vai citas faktiskas rīcības palīdzību. Šī procesa mērķis ir             nodrošināt normatīvo aktu ievērošanu un konkrēta lēmuma pieņemšanu; izvērtēt, vai privātpersona ir izpildījusi likuma prasības, (piemēram, vai ir rotaļu laukumam ir veikusi pēcuzstādīšanas pārbaudi);        sekot līdzi, vai netiek radīti apdraudējumi (piemēram, sabiedrības veselībai vai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ietvaros iestāde nav tiesīga sodīt, bet tai ir tiesības pieņemt lēmumus par tiesību piešķiršanu, ierobežošanu vai izbeigšanu. Šie būtu gadījumi kad iestāde dod norādījumus veikt noteiktas darbības, piemēram, pārtraukt neatbilstošu vai bojātu iekārtu izmantošana sabiedrisko pakalpojumu sniegšanā. Šajā gadījumā tiktu izdots administratīvais akts ar norādījumiem novērst  neatbilstību vai aizliegt pakalpojuma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gadījumos, kad prettiesiskā darbība jau ir veikta un vairs nav nepieciešams veikt kādas darbības,  lai novērstu pakalpojuma trūkumus (piemēram, neatbilstoša pakalpojuma sniegšanas laikā noticis nelaimes gadījums un pakalpojuma sniegšana pārtraukta), pakalpojuma sniedzējs tiks saukts pie administratīvās atbildības un šajā gadījumā uzsākt administratīvo procesu nebūs lietderīgi, jo pārkāpums jau neatgriezeniski ir noticis un pabeigts.  Tādējādi katrā konkrētajā gadījumā tiks vērtēts, kuru procesu uzsākt, un netiks pieļautas situācijas, kad par vienu un to pašu pārkāpumu tiek uzsākti divi dažādi procesi.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Tirgus uzraudzības iestāžu amatpersonas, īstenojot šajā likumā paredzēto tirgus uzraudzību un kontroli, savas kompetences ietvaros ir tiesīgas: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Tirgus uzraudzības iestāžu amatpersonas, īstenojot šajā likumā paredzēto tirgus uzraudzību un kontroli, savas kompetences ietvaros ir tiesīgas: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ņemot vērā, ka likumprojekts ir jauna likuma projekts, nevis grozījumi Preču un pakalpojumu drošuma likumā, lūdzam izvērtēt un anotāciju papildināt ar likumprojektā (tostarp, bet ne tikai, likumprojekta 10. pantā) paredzēto tirgus uzraudzības iestāžu pilnvaru un tam korespondējošo privātpersonu tiesību (tostarp, bet ne tikai, Latvijas Republikas Satversmes 96. pantā paredzēto pamattiesību) ierobežojumu nepieciešamību un samērīgumu.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saistībā ar likumprojekta 10. pantā ietvertā regulējuma skaidrojumu anotācijā ("</w:t>
            </w:r>
            <w:r w:rsidR="00000000" w:rsidRPr="00000000" w:rsidDel="00000000">
              <w:rPr>
                <w:i w:val="1"/>
                <w:rtl w:val="0"/>
              </w:rPr>
              <w:t xml:space="preserve">Precizētas likumā ietvertās tirgus uzraudzības iestāžu tiesības, kas saskaņotas ar nepārtikas preču jomā esošo regulējumu (Atbilstības novērtēšanas likuma 9.</w:t>
            </w:r>
            <w:r w:rsidR="00000000" w:rsidRPr="00000000" w:rsidDel="00000000">
              <w:rPr>
                <w:i w:val="1"/>
                <w:vertAlign w:val="superscript"/>
                <w:rtl w:val="0"/>
              </w:rPr>
              <w:t xml:space="preserve">3</w:t>
            </w:r>
            <w:r w:rsidR="00000000" w:rsidRPr="00000000" w:rsidDel="00000000">
              <w:rPr>
                <w:i w:val="1"/>
                <w:rtl w:val="0"/>
              </w:rPr>
              <w:t xml:space="preserve"> pantu). Šāds precizējums nepieciešams, lai nodrošinātu vienveidīgu prasību piemērošanu un vairotu tiesisko noteiktību komersantiem</w:t>
            </w:r>
            <w:r w:rsidR="00000000" w:rsidRPr="00000000" w:rsidDel="00000000">
              <w:rPr>
                <w:rtl w:val="0"/>
              </w:rPr>
              <w:t xml:space="preserve">.</w:t>
            </w:r>
            <w:r w:rsidR="00000000" w:rsidRPr="00000000" w:rsidDel="00000000">
              <w:rPr>
                <w:rtl w:val="0"/>
              </w:rPr>
              <w:t xml:space="preserve">"), aicinām izvērstāk skaidrot, kāpēc, ņemot vērā, ka ir runa par dažādiem likumiem ar dažādu to piemērošanas jomu, nepieciešams un ir pamatoti saskaņot tirgus uzraudzības iestāžu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samērīguma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Tirgus uzraudzības iestāžu amatpersonas, īstenojot šajā likumā paredzēto tirgus uzraudzību un kontroli, savas kompetences ietvaros ir tiesīgas: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pieprasīt un bez maksas saņemt no saimnieciskās darbības veicēja, fiziskajām un privāto tiesību juridiskajām personām jebkādu informāciju, arī mutvārdos, neatkarīgi no veida vai formāta un no datu nesēja vai vietas, kurā tā tiek glabāta, tajā skaitā dokumentus, tehnisko dokumentāciju, tehniskās specifikācijas, datus vai cita veida informāciju, piekļūt iegultajai programmatūrai un citiem tehniskajiem aspektiem, ciktāl tas nepieciešams, lai pārliecinātos par pakalpojumu drošuma novērtēšanu vai attiecīgās iestādes funkciju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9. panta 2. punktā izslēgt vai atkarībā no normas mērķa precizēt vārdus "vai attiecīgās iestādes funkciju izpildi". Norādām, ka pašreiz norma nav konstruēta loģiski, jo noteic, ka: "</w:t>
            </w:r>
            <w:r w:rsidR="00000000" w:rsidRPr="00000000" w:rsidDel="00000000">
              <w:rPr>
                <w:i w:val="1"/>
                <w:u w:val="single"/>
                <w:rtl w:val="0"/>
              </w:rPr>
              <w:t xml:space="preserve">[t]irgus uzraudzības iestāžu amatpersonas</w:t>
            </w:r>
            <w:r w:rsidR="00000000" w:rsidRPr="00000000" w:rsidDel="00000000">
              <w:rPr>
                <w:i w:val="1"/>
                <w:rtl w:val="0"/>
              </w:rPr>
              <w:t xml:space="preserve">, īstenojot šajā likumā paredzēto tirgus uzraudzību un kontroli, savas kompetences ietvaros ir tiesīgas [..] pieprasīt un bez maksas saņemt </w:t>
            </w:r>
            <w:r w:rsidR="00000000" w:rsidRPr="00000000" w:rsidDel="00000000">
              <w:rPr>
                <w:i w:val="1"/>
                <w:u w:val="single"/>
                <w:rtl w:val="0"/>
              </w:rPr>
              <w:t xml:space="preserve">no saimnieciskās darbības veicēja, fiziskajām un privāto tiesību juridiskajām personām</w:t>
            </w:r>
            <w:r w:rsidR="00000000" w:rsidRPr="00000000" w:rsidDel="00000000">
              <w:rPr>
                <w:i w:val="1"/>
                <w:rtl w:val="0"/>
              </w:rPr>
              <w:t xml:space="preserve"> jebkādu informāciju, arī mutvārdos, [..] lai pārliecinātos par pakalpojumu drošuma novērtēšanu </w:t>
            </w:r>
            <w:r w:rsidR="00000000" w:rsidRPr="00000000" w:rsidDel="00000000">
              <w:rPr>
                <w:i w:val="1"/>
                <w:u w:val="single"/>
                <w:rtl w:val="0"/>
              </w:rPr>
              <w:t xml:space="preserve">vai attiecīgās iestādes funkciju izpild</w:t>
            </w:r>
            <w:r w:rsidR="00000000" w:rsidRPr="00000000" w:rsidDel="00000000">
              <w:rPr>
                <w:i w:val="1"/>
                <w:rtl w:val="0"/>
              </w:rPr>
              <w:t xml:space="preserve">i</w:t>
            </w:r>
            <w:r w:rsidR="00000000" w:rsidRPr="00000000" w:rsidDel="00000000">
              <w:rPr>
                <w:rtl w:val="0"/>
              </w:rPr>
              <w:t xml:space="preserve">". Attiecīgi lūdzam precizēt likumprojekta 9. panta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9. panta 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pieprasīt un bez maksas saņemt no saimnieciskās darbības veicēja, fiziskajām un privāto tiesību juridiskajām personām jebkādu informāciju, arī mutvārdos, neatkarīgi no veida vai formāta un no datu nesēja vai vietas, kurā tā tiek glabāta, tajā skaitā dokumentus, tehnisko dokumentāciju, tehniskās specifikācijas, datus vai cita veida informāciju, piekļūt iegultajai programmatūrai un citiem tehniskajiem aspektiem, ciktāl tas nepieciešams, lai pārliecinātos par pakalpojumu drošuma novērtēšanu;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citos normatīvajos aktos nav noteiktas speciālas drošuma prasības pakalpojumiem vai speciālas prasības attiecībā uz noteiktu ar pakalpojuma izmantošanu saistītu risku vai drošuma aspektiem, tirgus uzraudzības iestādes, vērtējot pakalpojuma atbilstību drošuma prasībām, ņem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Apzināmies, ka pašreiz līdzīga satura regulējums ietverts Preču un pakalpojumu drošuma likuma 6. panta otrajā daļā, tomēr atkārtoti atgādinām, ka privātpersonām saistošas ir prasības, kas noteiktas ārējā normatīvajā aktā. Attiecīgi lūdzam precizēt likumprojekta 11. pantā ietverto regulējumu. Šādu regulējumu par to, ko tirgus uzraudzības iestādes ņem vērā (proti, standartus, kas noteikti pakalpojumu drošuma jomā, tirgus uzraudzības iestāžu izstrādātas labās prakses vadlīnijas, nozaru labās prakses kodeksus, kas saskaņoti ar atbildīgo tirgus uzraudzības iestādi, jaunākos zinātnes un tehnikas līmeņa sasniegumus, kā arī zinātnisko pētnieku un ekspertu atzinumus), vērtējot pakalpojuma atbilstību drošuma prasībām, pastarpināti ir domāts piemērot arī uz pakalpojuma sniedzējiem, pat ja likumprojektā tas konkrēti nav noteikts. Atgādinām, ka nav pieļaujams ar atsauces palīdzību uzlikt par pienākumu privātpersonām ievērot juridiski nesaistošus dokumentus. Citastarp atkārtoti lūdzam skaidrot, par kādiem "standartiem, kas noteikti pakalpojumu drošuma jomā", ir runa (proti, vai ir runa par obligāti piemērojamiem Latvijas nacionālajiem standartiem Standartizācijas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4. pants un 10.pants, paredzot tikai tirgus uzraudzības iestādēm pienākumu ņemt vērā visu 10.pantā uzskaitīto papildus 4.panta otrajā daļā noteiktajam. Pakalpojumu sniedzēji pēc izvēles var izmantot arī vadlīnijas u.c. 10.pantā uzskaitītos avotus droša pakalpojuma sniegšanas nodrošināšanai, taču tirgus uzraudzības iestādēm tas ir nosakāms kā pienākums, lai sekotu līdzi visiem  avotiem, kurus var izmantot arī pakalpojumu sniedzēji, kā arī, lai nepieciešamības gadījumā ieviestu izmaiņas.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Tirgus uzraudzības iestādes, vērtējot pakalpojuma atbilstību drošuma prasībām, papildus šā likuma 4. panta trešajā daļā noteiktajam var ņemt vērā: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Vērtējot pakalpojuma atbilstību drošuma prasībām, tirgus uzraudzības iestādes 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privātpersonām saistošas ir prasības, kas noteiktas ārējā normatīvajā aktā. Attiecīgi lūdzam izvērtēt un precizēt likumprojekta 11. pantā ietverto regulējumu vai sniegt pamatotu skaidrojumu par šādas normas piemērošanu. Šādu regulējumu, nosakot, ko tirgus uzraudzības iestādes ņem vērā, vērtējot pakalpojuma atbilstību drošuma prasībām, pirmšķietami pastarpināti ir domāts piemērot arī uz pakalpojuma sniedzējiem, pat ja likumprojektā tas konkrēti nav noteikts. Citastarp lūdzam arī precizēt vai anotācijā skaidrot, par kādiem "standartiem, kas noteikti pakalpojumu drošuma jomā", ir runa (proti, vai ir runa par obligāti piemērojamiem Latvijas nacionālajiem standartiem Standartizācijas likuma izpratnē), kā arī skaidrot, kur ietverts tiesiskais regulējums par nozaru labās prakses kodeksu saskaņošanu ar atbildīgo tirgus uzraudzības iestādi un attiecīgi kāds ir šādu labās prakses kodeksu juridiski saistošais spēks attiecībā uz pakalpojumu sniedzējiem, kuri sniedz pakalpojumus attiecīgajā nozarē.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10.pants un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iepriekš tas bija noteikts preču un pakalpojumu drošuma likumā. Labās prakses kodeksu juridiski saistošais spēks domāts tādā ziņā, ka nozare kopā ar uzraudzības iestādi to izstrādā. Piemēram, ir slēpošanas trašu un virvju trašu vadlīnijas. Arī Eiropas Savienības līmenī ir šāda prakse, kad nozare vai ražotāju asociācija izstrādā labās prakses vadlīnijas, piemēram,  spiedieniekārtu, mašīniekārtu jomā.</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Tirgus uzraudzības iestādes, vērtējot pakalpojuma atbilstību drošuma prasībām, papildus šā likuma 4. panta trešajā daļā noteiktajam var ņemt vērā: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standartus, kas noteikti pakalpojumu drošuma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izvērstāk skaidrot, par kādiem "citiem" standartiem likumprojekta 10. panta 1. punktā ir runa un kāds ir to juridiski saistošais raksturs. Papildus atkārtoti lūdzam izvērtēt likumprojekta 10. pantā ietverto regulējumu, ņemot vērā jau iepriekš Tieslietu ministrijas atzinumos paustos apsvērumus (sk. izziņas punktā ietverto Tieslietu ministrijas 2024. gada 12. novembra iebildumu). Vēršam uzmanību, ka, kaut arī likumprojekta 10. pants, kā skaidrots izziņā, formulēts kā tirgus uzraudzības iestāžu pienākums, tas reizē nozīmē, ka pakalpojumu sniedzējiem iespējamas kādas sekas gadījumā, ja viņi nebūs nodrošinājuši pakalpojumu atbilstību normā minētajiem nesaistošajiem dokumentiem, jo tirgus uzraudzības iestādes tos ņems vērā, novērtējot pakalpojumu atbilstību drošumam. Atgādinām, ka nav pieļaujams ar atsauces palīdzību uzlikt par pienākumu privātpersonām ievērot juridiski nesaistošus dokumentus.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10. pants, papildināts 11. pants ar jaunu sesto daļu, papildināts risinājuma apraksts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standartus, kas noteikti pakalpojumu drošuma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minētais nevar būt pakalpojumu sniedzējam nelabvēlīga administratīvā akta izdošanas vienīgais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projekta 10. panta otro daļu, jo jautājumu attiecībā uz administratīvo aktu pamatojumu regulē Administratīvā procesa likums, proti, atbilstoši Administratīvā procesa likuma 67.panta otrajā daļā noteiktajam, rakstveidā izdots administratīvais akts satur noteiktas sastāvdaļas, </w:t>
            </w:r>
            <w:r w:rsidR="00000000" w:rsidRPr="00000000" w:rsidDel="00000000">
              <w:rPr>
                <w:u w:val="single"/>
                <w:rtl w:val="0"/>
              </w:rPr>
              <w:t xml:space="preserve">tai skaitā piemēroto tiesību normu uzskaitījumu.</w:t>
            </w:r>
            <w:r w:rsidR="00000000" w:rsidRPr="00000000" w:rsidDel="00000000">
              <w:rPr>
                <w:rtl w:val="0"/>
              </w:rPr>
              <w:t xml:space="preserve"> Saskaņā ar Administratīvā procesa likuma 67.panta ceturto daļu iestāde administratīvo aktu pamato ar Satversmi, likumiem, Ministru kabineta noteikumiem vai pašvaldību saistošajiem noteikumiem, starptautisko tiesību vai Eiropas Savienības normām, kā arī vispārējiem tiesību principiem. Administratīvā procesa likuma 67. panta sestajā noteikts, ka iestāde nedrīkst pamatot administratīvo aktu ar iekšējo normatīvo aktu. Ja iestāde ir piemērojusi iekšējo normatīvo aktu, to administratīvā akta pamatojumā min, norādot iekšējā normatīvā akta izdevēju, izdošanas datumu, nosaukumu un piemēroto tiesību normu. Šai norādei ir informatīvs raksturs.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10.panta otrā daļa izslēgta.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uzraudzības iestādes lēmums ir spēkā no tā pieņemšanas brīža.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13. panta pirmo daļu attiecībā uz lēmuma, kas ir administratīvais akts, spēkā stāšanos, vai sniegt attiecīgu pamatojumu projekta anotācijā, ņemot vērā, ka atbilstoši Administratīvā procesa likuma 70.panta pirmajai daļai, ja ārējā normatīvajā aktā vai pašā administratīvajā aktā nav noteikts citādi, administratīvais akts stājas spēkā ar brīdi, kad tas paziņots adresātam.  Lai administratīvais akts, kas tiek sagatavots un izdots iestādē, būtu spēkā, tam parasti ir jābūt zināmam tai personai, uz kuru tas attiecas. Atkāpes pieļaujamas tikai īpašos gadījumus. Tas izriet arī no Satversmes 90. pantā nostiprinātajām tiesībām zināt savas tiesības. Proti, nevar prasīt personai ievērot to, kas tai nav zināms. Līdz ar spēkā esību sāk darboties ar administratīvo aktu noteiktās tiesiskās sekas, kā arī apstrīdēšanas vai pārsūdzēšanas termiņi. Tādēļ administratīvā akta paziņošana ir būtiska administratīvā procesa stadija. Administratīvā akta izdošanas un paziņošanas brīdis parasti sakrīt tikai gadījumā, ja administratīvais akts nav izdots rakstveidā (Administratīvā procesa likuma komentāri. A un B daļa. Sagatavojis autoru kolektīvs Dr.iur.J.Briedes zinātniskajā redakcijā., TNA 2013. gads, 695. un 696. 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prasībām neatbilstoši, it īpaši nedroši pakalpojumi var apdraudēt cilvēku veselību un pat dzīvību, tirgus uzraudzības iestādēm jābūt pietiekami plašām pilnvarām, kuras tām jāspēj piemērot arī gadījumos, kad attiecīgie komersanti nesadarbojas. Šādu pašu apsvērumu dēļ arī tirgus uzraudzības iestāžu pieņemtajiem lēmumiem ir jāstājas spēkā jau to pieņemšanas brīdī, lai konstatētie trūkumi un to iespējamais apdraudējums tiktu novērsti iespējami īsā laikā. Attiecīgi likumprojektā ietvertais tiesiskais regulējums paredz, ka šādi tirgus uzraudzības iestāžu lēmumi ir spēkā no to pieņemšanas brīža un ka šāda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uzraudzības iestādes lēmums ir spēkā no tā pieņemšanas brīža.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Izdevumi atlīdzināmi piecu dienu laikā no izdevumus apliecinoša dokumenta saņemšanas dienas. Ja attiecīgā persona atsakās segt izdevumus, tirgus uzraudzības iestāde tos piedzen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14. panta trešo daļu, nosakot kāda likuma kārtībā attiecīgie izdevumi tiek piedzīti, proti, civilprocesa vai administratīvā procesa ietvaros. Papildus, ņemot vērā likumprojekta 14. panta otro daļu, tiesiskās noteiktības labad aicinām aizstāt vārdus "attiecīgā persona" ar vārdiem "pakalpojuma sniedzējs".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13.panta trešā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Izdevumi atlīdzināmi piecu dienu laikā no izdevumus apliecinoša dokumenta saņemšanas dienas. Ja pakalpojuma sniedzējs atsakās segt izdevumus, tirgus uzraudzības iestāde tos piedzen Civilprocesa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Administratīvie pārkāpumi pakalpojumu drošuma jomā un kompetence administratīvo pārkāpumu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Likumprojektā būtiski pilnveidojams pamatregulējums un precizējams administratīvo pārkāpumu formulējums, skaidri un izsmeļoši norādot visas nepieciešamās administratīvā pārkāpuma pazīmes.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15. pants paredz administratīvo atbildību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normatīvajos aktos noteikto pasākumu risku novērtēšanai vai novēršanai neveikšanu vai nepienācīgu veikšanu, kā arī par pakalpojumu piedāvāšanas kārtības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 pakalpojuma sniegšanu, kas neatbilst normatīvajos aktos noteiktajām drošuma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 atkārtoti </w:t>
            </w:r>
            <w:r w:rsidR="00000000" w:rsidRPr="00000000" w:rsidDel="00000000">
              <w:rPr>
                <w:b w:val="1"/>
                <w:rtl w:val="0"/>
              </w:rPr>
              <w:t xml:space="preserve">lūdzam precizēt administratīvo pārkāpumu formulējumu, skaidri un izsmeļoši norādot visas nepieciešamās administratīvā pārkāpuma pazīmes </w:t>
            </w:r>
            <w:r w:rsidR="00000000" w:rsidRPr="00000000" w:rsidDel="00000000">
              <w:rPr>
                <w:rtl w:val="0"/>
              </w:rPr>
              <w:t xml:space="preserve">(detalizētāk pamatojumu lasīt Tieslietu ministrijas š.g. 11. septembra iebildumā Nr. 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jebkurai personai, izlasot administratīvo pārkāpumu, būtu jāspēj saprast, par kādu tieši darbību vai bezdarbību tai var tikt piemērotas sodoša rakstura sankcijas. Nav atbalstāms administratīvais pārkāpums, kas satur pārkāpuma pazīmi "par tāda pakalpojuma sniegšanu, kas neatbilst normatīvajos aktos noteiktajām drošuma prasībām", "par normatīvajos aktos noteikto pasākumu risku novērtēšanai […], kā arī par pakalpojumu piedāvāšanas kārtības neievērošanu". Pārkāpuma pazīmes "normatīvajos aktos noteiktās" un tamlīdzīgas pazīmes neatklāj administratīvā pārkāpuma pazīmes.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vēršam uzmanību, ka likumprojekts nenosaka, uz kādiem konkrēti pakalpojumiem attiecas likumprojektā ietvertais regulējums. Lai gan likumprojekta anotācijā tiek minēti atsevišķi pakalpojumi (piemēram, izklaides pakalpojumi), likumprojekts nenosaka pakalpojumus, kuriem ir noteiktas drošuma prasības. Attiecīgi kopumā likumprojektā ietvertais regulējums ir nekonkrēts un neskaidrs. No likumprojektā ietvertā regulējuma nav saprotams, kādiem pakalpojuma sniedzējiem vispār var tikt piemērota likumprojektā paredzētā administratīvā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w:t>
            </w:r>
            <w:r w:rsidR="00000000" w:rsidRPr="00000000" w:rsidDel="00000000">
              <w:rPr>
                <w:b w:val="1"/>
                <w:rtl w:val="0"/>
              </w:rPr>
              <w:t xml:space="preserve">lūdzam precizēt un papildināt likumprojektu ar regulējumu, kas atklāj administratīvā pārkāpuma pazīmes un nosaka pakalpojumu sniedzējus, uz kuriem attiecas projektā noteiktais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 4. un 15.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Administratīvie pārkāpumi pakalpojumu drošuma jomā un kompetence administratīvo pārkāpumu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Precizējams administratīvo pārkāpumu formulējums, skaidri un izsmeļoši norādot visas nepieciešamās administratīvā pārkāpuma pazīmes.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visus nodaļā noteiktos administratīvos pārkāpumus, skaidri nosakot administratīvā pārkāpuma pazīmes. Proti, par kādu darbību vai bezdarbību personai var tikt piemērota administratīvā atbildība. Paskaidrojam, ka jebkurai personai, izlasot administratīvo pārkāpumu, būtu jāspēj saprast, par kādu tieši darbību vai bezdarbību tai var tikt piemērotas sodoša rakstura sankcijas. Šobrīd likumprojektā definētās administratīvā pārkāpuma pazīmes netiek skaidri noteiktas.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lūdzam administratīvo pārkāpumu noteikt, neizmantojot iekšējās atsauces.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nav pieļaujams un atbalstāms administratīvais pārkāpums, kas satur pārkāpuma pazīmi "par </w:t>
            </w:r>
            <w:r w:rsidR="00000000" w:rsidRPr="00000000" w:rsidDel="00000000">
              <w:rPr>
                <w:u w:val="single"/>
                <w:rtl w:val="0"/>
              </w:rPr>
              <w:t xml:space="preserve">normatīvajos aktos noteiktajām drošuma prasībām neatbilstošu </w:t>
            </w:r>
            <w:r w:rsidR="00000000" w:rsidRPr="00000000" w:rsidDel="00000000">
              <w:rPr>
                <w:rtl w:val="0"/>
              </w:rPr>
              <w:t xml:space="preserve">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16. panta trešā daļa ir blanketa norma, jo tā ietver norādi uz citos normatīvos aktos iekļautajām tiesību normām (priekšrakstiem) </w:t>
            </w:r>
            <w:r w:rsidR="00000000" w:rsidRPr="00000000" w:rsidDel="00000000">
              <w:rPr>
                <w:i w:val="1"/>
                <w:rtl w:val="0"/>
              </w:rPr>
              <w:t xml:space="preserve">(sk. Normatīvo aktu projektu izstrādes rokasgrāmata. Pieejama: https://tai.mk.gov.lv/book/1/chapter/81)</w:t>
            </w:r>
            <w:r w:rsidR="00000000" w:rsidRPr="00000000" w:rsidDel="00000000">
              <w:rPr>
                <w:rtl w:val="0"/>
              </w:rPr>
              <w:t xml:space="preserve">. Izmantojot blanketo normu, likumdevējs formulē vispārinātu pazīmi, kas kopā ar citās normās noteikto šīs pazīmes detalizāciju veido pārkāpumu. Tomēr jāievēro, ka arī blanketā norma definē visas pārkāpuma pazīmes, vienīgi daļu no šīm pazīmēm sīkāk konkretizē citas normas </w:t>
            </w:r>
            <w:r w:rsidR="00000000" w:rsidRPr="00000000" w:rsidDel="00000000">
              <w:rPr>
                <w:i w:val="1"/>
                <w:rtl w:val="0"/>
              </w:rPr>
              <w:t xml:space="preserve">(sal. Leja M. Krimināltiesību aktuālie jautājumi un to risinājumi Latvijā, Austrijā, Šveicē, Vācijā. Noziedzīga nodarījuma uzbūve; cēloņsakarība; vaina; krimināltiesību normu interpretācija un spēks laikā. I daļa. Rīga: Tiesu namu aģentūra, 2019, 95.-96. lpp.)</w:t>
            </w:r>
            <w:r w:rsidR="00000000" w:rsidRPr="00000000" w:rsidDel="00000000">
              <w:rPr>
                <w:rtl w:val="0"/>
              </w:rPr>
              <w:t xml:space="preserve">. Ievērojot minēto, likumprojektā ietvertajam pārkāpuma aprakstam, lai arī ļoti vispārīgi, bet ir jāsatur pārkāpuma pazīmes. Prasība pēc tiesību normas skaidrības ir nostiprināta gan Latvijas Republikas Satversmē, gan Eiropas Padomes Cilvēka tiesību un pamatbrīvību aizsardzības konvencijā, gan Eiropas Cilvēktiesību tiesas un Latvijas Republikas Satversmes tiesas spriedumos. Eiropas Padomes Cilvēka tiesību un pamatbrīvību aizsardzības konvencijas 7. pants vispārējā formā satur principu, ka krimināltiesībās atbildībai par tiesībpārkāpumu un sodam jābūt noteiktiem saskaņā ar likumu (lat. val. – </w:t>
            </w:r>
            <w:r w:rsidR="00000000" w:rsidRPr="00000000" w:rsidDel="00000000">
              <w:rPr>
                <w:i w:val="1"/>
                <w:rtl w:val="0"/>
              </w:rPr>
              <w:t xml:space="preserve">nullum crimen, nulla poena sine lege</w:t>
            </w:r>
            <w:r w:rsidR="00000000" w:rsidRPr="00000000" w:rsidDel="00000000">
              <w:rPr>
                <w:rtl w:val="0"/>
              </w:rPr>
              <w:t xml:space="preserve">). Nostiprinātā prasība tiek atzīta par izpildītu, ja apsūdzētajam ir iespēja no tiesību normas teksta zināt (nepieciešamības gadījumā arī izmantojot interpretāciju, kas ietverta tiesu nolēmumos), par kādu tieši darbību vai bezdarbību noteikta kriminālatbildība. Arī gadījumos, kad personai likumā tiek paredzēta sodoša rakstura administratīvā sankcija, darbojas iepriekš minētais princips.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likumprojekta 16. panta otrās daļas pārkāpuma pazīmes projektā vispār netiek noteiktas (likumprojekta 8. pantā ir deleģējums Ministru kabinetam).  Nav pieļaujama situācija, ka pārkāpuma saturu būtībā noteiktu Ministru kabinets.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15.pants.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Administratīvie pārkāpumi pakalpojumu drošuma jomā un kompetence administratīvo pārkāpumu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likumprojekta VI nodaļā ietvertie administratīvie pārkāpumi tiek pārņemti no Preču un pakalpojumu drošuma likuma par visiem likumprojektā paredzētajiem administratīvajiem pārkāpumiem </w:t>
            </w:r>
            <w:r w:rsidR="00000000" w:rsidRPr="00000000" w:rsidDel="00000000">
              <w:rPr>
                <w:b w:val="1"/>
                <w:rtl w:val="0"/>
              </w:rPr>
              <w:t xml:space="preserve">likumprojekta anotācijā jāveic administratīvās atbildības nepieciešamības un pieļaujamības kritēriju izvērtējums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 akta (procesa) prioritātes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sabiedriskās kārtības mērķa sasniegšanas efektivitāte;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problēmsituācijas attiecināmība uz publiski tiesiskajām attiecībām;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problēmsituācijas bīstamība un kaitīgums;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aizliegums paredzēt administratīvos sodus par administratīvā akta labprātīgu neizpildīšanu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54.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akta (rīkojuma, procesa) prioritātes princips nozīmē to, ka, ja ir nepieciešams panākt, lai persona izpilda noteiktas normatīvo aktu prasības, prioritāte ir administratīvā akta izdošanai, nosakot pienākumu atbilstošā termiņā novērst neatbilstības un izpildīt prasības. Administratīvais sods paredzams tikai tajos gadījumos, kad nepieciešams reaģēt uz kādu personas izdarītu pārkāpumu, kurš vairs nav novēršams un ir ar augstu bīstamības pakāpi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55. lpp.)</w:t>
            </w:r>
            <w:r w:rsidR="00000000" w:rsidRPr="00000000" w:rsidDel="00000000">
              <w:rPr>
                <w:rtl w:val="0"/>
              </w:rPr>
              <w:t xml:space="preserve">. Latvijā valsts pārvaldei ir raksturīgi meklēt iespēju personu sodīt par pienākumu nepildīšanu, bet nereti netiek saskatīta iespēja panākt pienākumu izpildi ar administratīvā procesa līdzekļiem </w:t>
            </w:r>
            <w:r w:rsidR="00000000" w:rsidRPr="00000000" w:rsidDel="00000000">
              <w:rPr>
                <w:i w:val="1"/>
                <w:rtl w:val="0"/>
              </w:rPr>
              <w:t xml:space="preserve">(Laveniece-Straupmane N., Briede J., Liholaja V., Judins A., Ziemane I. Ārkārtējā situācija: juristu viedokļi par tiesisko regulējumu un tā piemērošanu. Jurista Vārds, 17.03.2020., Nr. 11)</w:t>
            </w:r>
            <w:r w:rsidR="00000000" w:rsidRPr="00000000" w:rsidDel="00000000">
              <w:rPr>
                <w:rtl w:val="0"/>
              </w:rPr>
              <w:t xml:space="preserve">. Tādējādi, ja pienākuma īstenošanu var panākt izdodot administratīvo aktu vai ar citiem nesodoša rakstura administratīvi tiesiskiem līdzekļiem, tad administratīvā atbildība pamatā nav paredzama.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kārtības mērķa sasniegšanas efektivitāte nozīmē, ka ar administratīvās atbildības noteikšanu var sasniegt attiecīgo mērķi (citiem vārdiem, atrisināt konstatēto problēmsituāciju). Šajā aspektā nepieciešams izvērtēt, vai administratīvais sods spēs mazināt konstatēto problēmsituāciju skaitu, apmēru un izplatību sabiedrībā, kā arī vai ar administratīvā pārkāpuma procesā esošajiem līdzekļiem būs iespējams šādas situācijas konstatēt, izmeklēt un pierādīt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55.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regulējums nav paredzēts civiltiesisku strīdu risināšanai. Ja privātpersonai ir iespējams savas aizskartās tiesības aizstāvēt ar civiltiesiskās aizsardzības līdzekļiem, tad par attiecīgu privāttiesiskās attiecības regulējošo normu neievērošanu administratīvā atbildība nav paredzama. Tādējādi pārkāpumam jābūt saistītam ar publiski tiesiskām attiecībām. Ir atsevišķi izņēmuma gadījumi, kad administratīvie sodi tradicionāli tiek piemēroti arī par tādiem pārkāpumiem, kas pēc savas tiesiskās dabas attiecas uz privāttiesiskām attiecībām, piemēram, ja pārkāpuma rezultātā tiek skarts plašs sabiedrības loks (patērētāju tiesības)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56.-57.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nepieciešamību noteikt administratīvo atbildību konkrētas problēmsituācijas risināšanai, jākonstatē tās bīstamība vai kaitīgums sabiedrības interesēm. Proti, jāizvērtē, vai iespējamais pārkāpums var aizskart sabiedriskās intereses tādā mērā, ka nepieciešams paredzēt administratīvo atbildību par to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57. lpp.)</w:t>
            </w:r>
            <w:r w:rsidR="00000000" w:rsidRPr="00000000" w:rsidDel="00000000">
              <w:rPr>
                <w:rtl w:val="0"/>
              </w:rPr>
              <w:t xml:space="preserve">. Šajā aspektā nozīmīga var būt arī administratīvās atbildības un kriminālatbildības norobežošana. Likumdevēja izvēle starp noziedzīgu nodarījumu un administratīvo pārkāpumu nedrīkst būt patvaļīga. Administratīvie pārkāpumi izpaužas kā noteiktas pārvaldības kārtības neievērošana, un tie nav saistīti ar sociālu stigmatizāciju vai publisku kaunu </w:t>
            </w:r>
            <w:r w:rsidR="00000000" w:rsidRPr="00000000" w:rsidDel="00000000">
              <w:rPr>
                <w:i w:val="1"/>
                <w:rtl w:val="0"/>
              </w:rPr>
              <w:t xml:space="preserve">(Smiltēna A. Administratīvās atbildības norobežošanas no kriminālatbildības problemātika. Grām.: Administratīvo pārkāpumu tiesības. Administratīvās atbildības likuma skaidrojumi. Sagatavojis autoru kolektīvs. E. Danovska un G. Kūtra zinātniskajā redakcijā. Rīga: Tiesu namu aģentūra, 2020, 23. lpp.)</w:t>
            </w:r>
            <w:r w:rsidR="00000000" w:rsidRPr="00000000" w:rsidDel="00000000">
              <w:rPr>
                <w:rtl w:val="0"/>
              </w:rPr>
              <w:t xml:space="preserve">. Šie pārkāpumi ir vienkārši traucējoši labai pārvaldībai vai sabiedriskajai kārtībai, bet tie neietver sevī kādu īpašu ļaunumu vai pilnīgu sabiedrības vai valsts vērtību ignoranci </w:t>
            </w:r>
            <w:r w:rsidR="00000000" w:rsidRPr="00000000" w:rsidDel="00000000">
              <w:rPr>
                <w:i w:val="1"/>
                <w:rtl w:val="0"/>
              </w:rPr>
              <w:t xml:space="preserve">(Kalniņa V. Administratīvo pārkāpumu tiesību sistēmas reforma – domāšanas reforma. Jurista Vārds, 15.11.2016., Nr. 46)</w:t>
            </w:r>
            <w:r w:rsidR="00000000" w:rsidRPr="00000000" w:rsidDel="00000000">
              <w:rPr>
                <w:rtl w:val="0"/>
              </w:rPr>
              <w:t xml:space="preserve">. Citiem vārdiem sakot, ja noziedzīgs nodarījums ir ļaunums pats par sevi, tad administratīvais pārkāpums ir morāli neitrāla rīcība un tā izdarītājs – nevērīga vai bezrūpīga persona </w:t>
            </w:r>
            <w:r w:rsidR="00000000" w:rsidRPr="00000000" w:rsidDel="00000000">
              <w:rPr>
                <w:i w:val="1"/>
                <w:rtl w:val="0"/>
              </w:rPr>
              <w:t xml:space="preserve">(Foundations of European Criminal Law. Norel Neagu (Ed.). Bucureşti: Editura C.H. Beck, 2014, p. 67)</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aizliegts paredzēt administratīvos sodus par administratīvā akta labprātīgu neizpildīšanu. Ja lieta ir uzsākta administratīvajā procesā, tad šajā procesā tā arī ir jāpabeidz, ja nepieciešams, izmantojot administratīvā akta piespiedu izpildes līdzekļus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57.-58.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lai varētu izvērtēt administratīvās atbildības nepieciešamību un pieļaujamību likumprojektā paredzētajā gadījumā, projekta anotācijā jāietver argumentēts visu iepriekš minēto kritēriju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anotācijā iekļaujams arī paredzētā pārkāpuma satura skaidrojums, tostarp jānorāda korespondējošās tiesību normas, par kuru neievērošanu būs paredzēta administratīvā atbildība.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anotācijā iekļaujams arī pamatojums izvēlētajam soda veidam un apmēram</w:t>
            </w:r>
            <w:r w:rsidR="00000000" w:rsidRPr="00000000" w:rsidDel="00000000">
              <w:rPr>
                <w:rtl w:val="0"/>
              </w:rPr>
              <w:t xml:space="preserve">. Informējam, ka viens no soda samērīguma un soda veida un apmēra izvēles pamatkritērijiem ir pārkāpuma smagums un tā iespējamās sekas </w:t>
            </w:r>
            <w:r w:rsidR="00000000" w:rsidRPr="00000000" w:rsidDel="00000000">
              <w:rPr>
                <w:i w:val="1"/>
                <w:rtl w:val="0"/>
              </w:rPr>
              <w:t xml:space="preserve">(Cafaggi F., Iamiceli P. The Principles of Effectiveness, Proportionality and Dissuasiveness in the Enforcement of EU Consumer Law: The Impact of a Triad on the Choice of Civil Remedies and Administrative Sanctions. European Review of Private Law, 2017, Vol. 25, Iss. 3, p. 599)</w:t>
            </w:r>
            <w:r w:rsidR="00000000" w:rsidRPr="00000000" w:rsidDel="00000000">
              <w:rPr>
                <w:rtl w:val="0"/>
              </w:rPr>
              <w:t xml:space="preserve">. Lai to izvērtētu, citstarp nozīmīgs ir ar attiecīgajām tiesību normām aizsargātā tiesiskā labuma (interešu) svarīgums un pārkāpuma sabiedriskais nosodījums </w:t>
            </w:r>
            <w:r w:rsidR="00000000" w:rsidRPr="00000000" w:rsidDel="00000000">
              <w:rPr>
                <w:i w:val="1"/>
                <w:rtl w:val="0"/>
              </w:rPr>
              <w:t xml:space="preserve">(Ģenerāladvokāta Damaso Ruisa-Harabo Kolomera 2005. gada 26. maija secinājumu lietā C-176/03 46. punkts). </w:t>
            </w:r>
            <w:r w:rsidR="00000000" w:rsidRPr="00000000" w:rsidDel="00000000">
              <w:rPr>
                <w:rtl w:val="0"/>
              </w:rPr>
              <w:t xml:space="preserve">Protams, šie kritēriji neļauj precīzi noteikt (aprēķināt) pārkāpumam atbilstošu soda veidu vai apmēru, tie vairāk vērtējoši raksturo pārkāpumu salīdzinājumā ar citiem pārkāpumiem</w:t>
            </w:r>
            <w:r w:rsidR="00000000" w:rsidRPr="00000000" w:rsidDel="00000000">
              <w:rPr>
                <w:i w:val="1"/>
                <w:rtl w:val="0"/>
              </w:rPr>
              <w:t xml:space="preserve"> (Evaluation Study on the Implementation of Directive 2008/99/EC on the Protection of the Environment through Criminal Law by Member States. Brussels: 2014, p. 81)</w:t>
            </w:r>
            <w:r w:rsidR="00000000" w:rsidRPr="00000000" w:rsidDel="00000000">
              <w:rPr>
                <w:rtl w:val="0"/>
              </w:rPr>
              <w:t xml:space="preserve">. Soda samērīgumu ietekmē arī citi kritēriji, piemēram, pārkāpuma rezultātā iespējamais iegūtais labums (ekonomiskais izdevīgums), kā arī tas, vai sods nerada pārmērīgu apgrūtinājumu personai, kurai tas tiek piemērots.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Pārkāpuma izdarīšana nedrīkst būt ekonomiski izdevīga, ja salīdzina pārkāpuma rezultātā iegūto labumu un par pārkāpumu iespējamo sodu. Soda apmēra un pārkāpuma rezultātā iegūtā labuma attiecība, kā arī reālā iespēja, ka pārkāpums vispār tiks atklāts un sods piemērots, ir kritēriji, kas raksturo arī soda preventīvo (atturošo) iedarbību </w:t>
            </w:r>
            <w:r w:rsidR="00000000" w:rsidRPr="00000000" w:rsidDel="00000000">
              <w:rPr>
                <w:i w:val="1"/>
                <w:rtl w:val="0"/>
              </w:rPr>
              <w:t xml:space="preserve">(Faure M. Effective, Proportional and Dissuasive Penalties in the Implementation of the Environmental Crime and Shipsource Pollution Directives: Questions and Challenges. European Energy and Environmental Law Review, 2010, p. 260)</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Vērtējama arī sodu sabalansētība fiziskām un juridiskām personām. Ja vien nav īpašu apstākļu, tad tā paša administratīvā pārkāpuma smagumam nevajadzētu atšķirties no fiziskas un juridiskas personas skatpunkta.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w:t>
            </w:r>
            <w:r w:rsidR="00000000" w:rsidRPr="00000000" w:rsidDel="00000000">
              <w:rPr>
                <w:b w:val="1"/>
                <w:rtl w:val="0"/>
              </w:rPr>
              <w:t xml:space="preserve">prasību papildināt likumprojekta anotāciju ar minēto informāciju neietekmē tas, ka spēkā esošajā Preču un pakalpojumu drošuma likumā ir iekļauts tāds pats vai līdzīgs administratīvās atbildības regulējums</w:t>
            </w:r>
            <w:r w:rsidR="00000000" w:rsidRPr="00000000" w:rsidDel="00000000">
              <w:rPr>
                <w:rtl w:val="0"/>
              </w:rPr>
              <w:t xml:space="preserve">. Pirmkārt, valsts pārvaldei ir pienākums pastāvīgi pārbaudīt un pilnveidot normatīvo regulējumu </w:t>
            </w:r>
            <w:r w:rsidR="00000000" w:rsidRPr="00000000" w:rsidDel="00000000">
              <w:rPr>
                <w:i w:val="1"/>
                <w:rtl w:val="0"/>
              </w:rPr>
              <w:t xml:space="preserve">(sal. sk. Valsts pārvaldes iekārtas likuma 10. panta 10. daļu)</w:t>
            </w:r>
            <w:r w:rsidR="00000000" w:rsidRPr="00000000" w:rsidDel="00000000">
              <w:rPr>
                <w:rtl w:val="0"/>
              </w:rPr>
              <w:t xml:space="preserve">. Otrkārt, ir nepieciešams regulāri veikt spēkā esošo tiesību aktu ietekmes pēcpārbaudi, lai pārliecinātos, vai normatīvais regulējums joprojām ir nepieciešams, nerada nelabvēlīgas sekas, atbilst tā izstrādes mērķim, pašreizējai sociālajai un tiesiskajai situācijai (</w:t>
            </w:r>
            <w:r w:rsidR="00000000" w:rsidRPr="00000000" w:rsidDel="00000000">
              <w:rPr>
                <w:i w:val="1"/>
                <w:rtl w:val="0"/>
              </w:rPr>
              <w:t xml:space="preserve">Krūmiņa I. Kādi faktori kavē efektīvu tiesību aktu un rīcībpolitiku ex-post izvērtēšanu Latvijā? Pētījuma galaziņojums. Rīga: Latvijas Republikas Saeima, 2024, 2. lpp.)</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Administratīvā pārkāpuma procesu par šā likuma 15. panta minētajiem pārkāpumiem veic Patērētāju tiesību aizsardzības centrs vai Veselības inspekcija.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EM pārskatīt, vai nepieciešams minēt Veselības inspekciju projekta 16.pantā. Veselības inspekcija veic administratīvā pārkāpuma procesu attiecībā uz neatbilstošiem pakalpojumiem saskaņā ar Epidemioloģiskās drošības likumu. Savukārt visa kompetence, kas Veselības inspekcijai bija noteikta saskaņā ar Preču un pakalpojumu drošuma likumu, šobrīd ir iekļauta projektā "Grozījumi likumā "Par atbilstības novērtēšanu"". Veselības inspekcijas kompetences jomā šobrīd nav noteikumu, kas būtu izstrādāti (vai izstrādājami) saskaņā ar jauno Pakalpojumu drošuma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 no 16. panta svītrota. Vienlaikus aicinām VM izvērtēt, vai Veselības inspekcijai saskaņā ar Epidemioloģiskās drošības likumu ir iespējams piemērot sodu par drošuma prasību neievērošanu, kas noteiktas MK noteikumos, kas izdoti saskaņā ar Epidemioloģiskās drošības likumu, piemēram, par bērniem atbilstoša un droša spēļu laukuma vai sporta aprīkojuma un seguma nenodrošināšanu pirmsskolas izglītības iestādēs (MK 17.09.2013 noteikumi Nr. 890) un par drošuma prasību neievērošanu sporta zonās un sporta laukumos pārējās izglītības iestādēs (MK 27.12.2002 noteikumi Nr.610).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Administratīvā pārkāpuma procesu par šā likuma 16. panta pirmajā, otrajā, un trešajā daļā minētajiem pārkāpumiem veic Patērētāju tiesību aizsardzības centrs un Veselības inspekcija.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administratīvā pārkāpuma procesu veicošo institūciju kompetence neatšķiras, Iekšlietu ministrijas ieskatā panta redakcijā nav nepieciešamības atsevišķi uzskaitīt panta, kas paredz administratīvo atbildību, 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procesu par šā likuma 16. pantā minētajiem pārkāpumiem veic Patērētāju tiesību aizsardzības centrs un Veselības inspekcija.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16.pants.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Administratīvā pārkāpuma procesu par šā likuma 16. panta pirmajā, otrajā, un trešajā daļā minētajiem pārkāpumiem veic Patērētāju tiesību aizsardzības centrs un Veselības inspekcija.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normu, nosakot, ka kompetence veikt administratīvā pārkāpuma procesu ir Patērētāju tiesību aizsardzības centram </w:t>
            </w:r>
            <w:r w:rsidR="00000000" w:rsidRPr="00000000" w:rsidDel="00000000">
              <w:rPr>
                <w:u w:val="single"/>
                <w:rtl w:val="0"/>
              </w:rPr>
              <w:t xml:space="preserve">vai</w:t>
            </w:r>
            <w:r w:rsidR="00000000" w:rsidRPr="00000000" w:rsidDel="00000000">
              <w:rPr>
                <w:rtl w:val="0"/>
              </w:rPr>
              <w:t xml:space="preserve"> Veselības inspekcijai.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16.pants.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iekļaut paredzētā administratīvā pārkāpuma satura skaidrojumu un norādīt korespondējošās tiesību normas, par kuru neievērošanu būs paredzēta administratīvā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administratīvā pārkāpuma formulējums ("neievērojot drošuma prasības") neļauj personai pietiekami precīzi identificēt to regulējumu, par kura neievērošanu varētu piemērot administratīvo atbildību. Šādā veidā noteikt administratīvo pārkāpumu nav tiesiski pieļaujams.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svītrota nodaļa par administratīvo atbildību. Attiecīgi svītrots arī skaidrojums par to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tiesību akta projekta mērķa skaidrojumu atbilstoši Valsts kancelejas 2021.gadā izdotajām Vadlīnijām tiesību akta projekta sākotnējās ietekmes novērtēšanai un novērtējuma ziņojuma sagatavošanai vienotajā tiesību aktu izstrādes un saskaņošanas portālā. Vadlīnijas pieejamas: https://www.mk.gov.lv/lv/media/16905/download?attachment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likumprojekta mērķa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Atkārtoti lūdzam pilnveidot likumprojekta anotāciju, papildinot to ar administratīvās atbildības nepieciešamības un pieļaujamības kritēriju izvērtējumu</w:t>
            </w:r>
            <w:r w:rsidR="00000000" w:rsidRPr="00000000" w:rsidDel="00000000">
              <w:rPr>
                <w:rtl w:val="0"/>
              </w:rPr>
              <w:t xml:space="preserve"> (precizējot anotāciju, izvērtējums nav veikts par katru administratīvo pārkāpumu, tas ir veikts ļoti vispārīgi).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atkārtoti </w:t>
            </w:r>
            <w:r w:rsidR="00000000" w:rsidRPr="00000000" w:rsidDel="00000000">
              <w:rPr>
                <w:b w:val="1"/>
                <w:rtl w:val="0"/>
              </w:rPr>
              <w:t xml:space="preserve">lūdzam likumprojekta anotācijā iekļaut paredzētā pārkāpuma satura skaidrojumu,</w:t>
            </w:r>
            <w:r w:rsidR="00000000" w:rsidRPr="00000000" w:rsidDel="00000000">
              <w:rPr>
                <w:rtl w:val="0"/>
              </w:rPr>
              <w:t xml:space="preserve"> </w:t>
            </w:r>
            <w:r w:rsidR="00000000" w:rsidRPr="00000000" w:rsidDel="00000000">
              <w:rPr>
                <w:b w:val="1"/>
                <w:rtl w:val="0"/>
              </w:rPr>
              <w:t xml:space="preserve">norādīt korespondējošās tiesību normas, par kuru neievērošanu būs paredzēta administratīvā atbildība, </w:t>
            </w:r>
            <w:r w:rsidR="00000000" w:rsidRPr="00000000" w:rsidDel="00000000">
              <w:rPr>
                <w:rtl w:val="0"/>
              </w:rPr>
              <w:t xml:space="preserve">un </w:t>
            </w:r>
            <w:r w:rsidR="00000000" w:rsidRPr="00000000" w:rsidDel="00000000">
              <w:rPr>
                <w:b w:val="1"/>
                <w:rtl w:val="0"/>
              </w:rPr>
              <w:t xml:space="preserve">pamatojumu izvēlētajam soda veidam un apmēram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detalizētāks un argumentētāks skaidrojums par minēto iebildumu ir jau sniegts Tieslietu ministrijas š.g. 11. septembra iebildumā Nr. 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likumprojekta 12. panta astotajā daļā ietverto regulējumu anotācijā ietverts šāds skaidrojums: "</w:t>
            </w:r>
            <w:r w:rsidR="00000000" w:rsidRPr="00000000" w:rsidDel="00000000">
              <w:rPr>
                <w:i w:val="1"/>
                <w:u w:val="single"/>
                <w:rtl w:val="0"/>
              </w:rPr>
              <w:t xml:space="preserve">Līdzīgi kā nepārtikas preču jomā (Atbilstības novērtēšanas likuma 9.</w:t>
            </w:r>
            <w:r w:rsidR="00000000" w:rsidRPr="00000000" w:rsidDel="00000000">
              <w:rPr>
                <w:i w:val="1"/>
                <w:u w:val="single"/>
                <w:vertAlign w:val="superscript"/>
                <w:rtl w:val="0"/>
              </w:rPr>
              <w:t xml:space="preserve">3</w:t>
            </w:r>
            <w:r w:rsidR="00000000" w:rsidRPr="00000000" w:rsidDel="00000000">
              <w:rPr>
                <w:i w:val="1"/>
                <w:u w:val="single"/>
                <w:rtl w:val="0"/>
              </w:rPr>
              <w:t xml:space="preserve"> panta sestajā daļā)</w:t>
            </w:r>
            <w:r w:rsidR="00000000" w:rsidRPr="00000000" w:rsidDel="00000000">
              <w:rPr>
                <w:i w:val="1"/>
                <w:rtl w:val="0"/>
              </w:rPr>
              <w:t xml:space="preserve">, arī pakalpojumu drošuma jomā nepieciešams paredzēt kārtību, kādā tirgus uzraudzības iestādēm atlīdzināmi zaudējumi par pasākumiem, ko iestādes pašas organizējušas, lai novērstu nedroša pakalpojuma pārtraukšanu, kā arī patērētāju brīdināšanu par pastāvošajiem riskiem.</w:t>
            </w:r>
            <w:r w:rsidR="00000000" w:rsidRPr="00000000" w:rsidDel="00000000">
              <w:rPr>
                <w:rtl w:val="0"/>
              </w:rPr>
              <w:t xml:space="preserve">" Lūdzam skaidrojumu precizēt, ņemot vērā, ka anotācijā minētā likuma "Par atbilstības novērtēšanu" norma kontekstā ar 9.</w:t>
            </w:r>
            <w:r w:rsidR="00000000" w:rsidRPr="00000000" w:rsidDel="00000000">
              <w:rPr>
                <w:vertAlign w:val="superscript"/>
                <w:rtl w:val="0"/>
              </w:rPr>
              <w:t xml:space="preserve">3</w:t>
            </w:r>
            <w:r w:rsidR="00000000" w:rsidRPr="00000000" w:rsidDel="00000000">
              <w:rPr>
                <w:rtl w:val="0"/>
              </w:rPr>
              <w:t xml:space="preserve"> panta trešo, ceturto un piekto daļu pirmšķietami ir attiecināmi tieši uz izdevumiem </w:t>
            </w:r>
            <w:r w:rsidR="00000000" w:rsidRPr="00000000" w:rsidDel="00000000">
              <w:rPr>
                <w:u w:val="single"/>
                <w:rtl w:val="0"/>
              </w:rPr>
              <w:t xml:space="preserve">par preces laboratorisko vai cita veida ekspertīzi un transportēšanu</w:t>
            </w:r>
            <w:r w:rsidR="00000000" w:rsidRPr="00000000" w:rsidDel="00000000">
              <w:rPr>
                <w:rtl w:val="0"/>
              </w:rPr>
              <w:t xml:space="preserve">. Savukārt likumprojekta 12. panta astotā daļa attiecas uz izdevumiem, kas tirgus uzraudzības iestādei radušies, nodrošinot 12. panta septītajā daļā minētos pasākumus (proti, pasākumus, kas minēti šā panta ceturtās daļas 2. punktā, ja pakalpojumu sniedzēju veiktās darbības šajā likumā noteikto pienākumu izpildei ir nepietiekamas). Turklāt izdevumu par pakalpojuma ekspertīzi vai par kontrolpirkumu samaksāto naudas summu segšanu regulē likumprojekta 14. pants. Attiecīgi lūdzam anotācijā ietverto skaidrojumu precizēt un sniegt korektu pamatojumu likumprojekta 12. panta astotās daļas nepieciešamībai.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par likumprojekta 2. pantā ietverto pakalpojuma sniedzēja definīciju ietverts šāds skaidrojums: "</w:t>
            </w:r>
            <w:r w:rsidR="00000000" w:rsidRPr="00000000" w:rsidDel="00000000">
              <w:rPr>
                <w:i w:val="1"/>
                <w:rtl w:val="0"/>
              </w:rPr>
              <w:t xml:space="preserve">Pakalpojumu sniedzēja definīcija saskaņota ar Patērētāju tiesību aizsardzības likumu, lai nodrošinātu vienveidīgu normu piemērošanu patērētāju tiesību aizsardzības jomā</w:t>
            </w:r>
            <w:r w:rsidR="00000000" w:rsidRPr="00000000" w:rsidDel="00000000">
              <w:rPr>
                <w:rtl w:val="0"/>
              </w:rPr>
              <w:t xml:space="preserve">." Lūdzam izvērstāk skaidrot saskaņošanas nepieciešamību kontekstā ar abu likumu piemērošanas jomu (tostarp skaidrojot, kādu problēmu tā risina), kā arī skaidrot, kādēļ šāda personu loka sašaurināšana, salīdzinot ar pašreiz spēkā esošo regulējumu un Preču un pakalpojumu drošuma likuma 2. panta ceturtajā daļā ietvertā pakalpojuma sniedzēja definīciju ("</w:t>
            </w:r>
            <w:r w:rsidR="00000000" w:rsidRPr="00000000" w:rsidDel="00000000">
              <w:rPr>
                <w:i w:val="1"/>
                <w:rtl w:val="0"/>
              </w:rPr>
              <w:t xml:space="preserve">Pakalpojuma sniedzējs ir jebkura persona, kas sniedz pakalpojumu.</w:t>
            </w:r>
            <w:r w:rsidR="00000000" w:rsidRPr="00000000" w:rsidDel="00000000">
              <w:rPr>
                <w:rtl w:val="0"/>
              </w:rPr>
              <w:t xml:space="preserve">"), ir nepieciešama un kāda ir tās ietekme. Papildus, ņemot vērā, ka no likumprojekta 2. panta izriet, ka likums attiecas uz pakalpojumiem, kurus sniedz patērētājam, aicinām papildināt anotācijas 1.3. apakšsadaļas alternatīvo risinājumu izvērtējuma aprakstu, skaidrojot, vai ir izvērtētas iespējas regulējumu integrēt Patērētāju tiesību aizsardzības likumā, un kādi ir izvērtējuma secinājumi. Ja nepieciešams, lūdzam precizēt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Likumprojekta 2.pants.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anotācijas 1.3. sadaļā ietverto problēmas aprakstu, kurā norādīts, ka  pašreizējais pakalpojumu drošuma regulējums ir spēkā kopš 2004. gada, nepieciešams precizēt atsevišķas normas Preču un pakalpojumu drošuma likumā (turpmāk- likums), lai atvieglotu regulējuma piemērošanu, kā arī saskaņotu ar citiem patērētāju tiesību aizsardzības jomas regulējumiem.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 izstrādāta likumprojektam "Pakalpojumu drošuma likums", nevis likumprojektam "Grozījumi Preču un pakalpojumu drošuma likumā", kā maldīgi var secināt no iepriekš minētā teksta. Tāpēc anotācijā būtu skaidri norādāms, ka runa ir par likumprojektā ietverto regulējumu atsevišķos jautājumos, kas precizēts salīdzinājumā par pašreiz spēkā esošo regulējumu Preču un pakalpojumu drošuma likumā, lai atvieglotu tā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mērķis ir panākt drošu, cilvēka dzīvībai, veselībai un personas mantai, kā arī videi nekaitīgu pakalpojumu sniegšanu, Valsts kancelejas ieskatā likumprojekts vērtējams kā regulējums ar augstu ietekmes līmeni, kam būtu nepieciešams veikt ex-post ietekmes novērtēšanu trīs līdz piecu gadu laikā no tā spēkā stāšanās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Ex-post izvērtējums ir veicams ar mērķi noskaidrot, kā ir praksē ieviestas likuma prasības, vai ir sasniegts noteikumu mērķis un kāda ir regulējuma ietekme uz mērķa grupām (šajā gadījumā sabiedrību un pakalpojumu sniedzējiem). Saskaņā ar Ministru kabineta noteikumu Nr.617 "Tiesību akta projekta sākotnējās ietekmes izvērtēšanas kārtība" 20.punktu, ja projektam paredzēta tiesību akta pēcpārbaudes ietekmes (ex-post) izvērtēšana, šo informāciju iekļauj anotācijā, norādot pamatojumu, termiņu, kā arī projekta mērķa sasniegšanas rezultātus un to vērtēšanas rādītājus. Ex-post novērtējuma rezultāti savukārt kalpo par pamatu lēmuma pieņemšanai par tiesību akta īstenošanas turpināšanu, pārskatīšanu vai jauna normatīvā regulējuma izstrādi, tādējādi uzlabojot tiesiskā regulējuma kvalitāti, aktualitāti un efektivitāti. Ietekmes novērtējums var kalpot arī par pamatu jaunām iniciatīvām, lai sekmētu konkrētā regulējuma īstenošanos.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šobrīd aktīvi strādā pie tiesību aktu izvērtēšanas prakses iedzīvināšanas un attīstīšanas, gan izstrādājot metodiku tiesību aktu ex-post ietekmes izvērtēšanā, gan īstenojot vairākus pilotprojektus, gan plānojot atbalstu novērtēšanas prasmju stiprināšanai pašā valsts pārvaldē. Iecerēts, ka 2025. gada 1.pusē darbs pie tiesību aktu ex-post ietekmes metodikas izstrādes tiks pabeigts, savukārt 2025. gada otrajā pusgadā tiks īstenotas ministriju speciālistu apmācības, nodrošinot atbalstu normatīvo aktu izstrādātājiem un īstenotājiem tiesību aktu ex-post ietekmes izvērtēšanā.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 2024. gada Valsts kanceleja sniedz atbalstu (finansiālu un metodisku) nozaru ministrijām tiesību aktu ar augstu ietekmes līmeni ex-post izvērtējuma veikšanai. Šāds atbalsts tiks sniegts arī turpmākajos gados, attīstot tiesību aktu ex-post izvērtējuma veikšanas praksi un sekmējot kvalitatīvāka un efektīvāka normatīvā regulējuma izstrādi un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informāciju par ex-post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(turpmāk - noteikumi Nr. 617) 15. un 16. punktu, tiesību akta projektam ir jāvērtē ietekme uz administratīvo slogu un apstiprinoša rezultāta gadījumā jāveic administratīvo izmaksu un atbilstības izmaksu monetārs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vadlīnijās “Vadlīnijās tiesību akta sākotnējās ietekmes novērtēšanai un novērtējuma ziņojuma sagatavošanai vienotajā TAP portālā” noteikto, ja tiesību akta projekts paredz grozījumus jau esošajā tiesību aktā un šie grozījumi skar tikai daļu no tām informācijas sniegšanas prasībām vai atbilstības izmaksām, ko nosaka spēkā esošais regulējums, tad ar aprēķinu palīdzību jānoskaidro administratīvo izmaksu izmaiņas – starpība starp esošā un plānotā regulējuma administratīvajām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likumprojekts aizstās šobrīd spēkā esošo Preču un pakalpojumu drošuma likumu, ir vērtējams vai ar likumprojektā veiktajām izmaiņām tiek ietekmēts administratīvais slogs, proti, vai izmainās informācijas sniegšanas pienākuma apjoms un atbilstību izmaksu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Preču un pakalpojumu drošuma likuma, kas stājās spēkā 2004. gada 1. maijā, anotācijā ir sniegta informācija, ka minētais likums neparedz administratīvo procedūru izmaiņas, salīdzinot ar Preču un pakalpojumu drošuma likumu, kas bija spēkā ar 2000. gada 19. jūliju.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 iepriekš minēto, kā arī to, ka nav pieejams administratīvo izmaksu un atbilstības izmaksu monetārs novērtējums par Preču un pakalpojumu drošuma likumu (19.07.2000. un 01.05.2004.), lūdzu veikt likumprojektā iekļauto informācijas sniegšanas pienākumu un atbilstības prasību vērtējumu un atbilstoši vērtējumam veikt administratīvo izmaksu un atbilstības izmaksu monetāru novērtējumu, kas aizpildāms par fiziskām un juridiskām personām anotācijas 2. sadaļas 2.3., 2.4. apakšpunktā un valsts vai pašvaldību institūcijām 7. sadaļas 7.2., 7.3.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vērtējams ir likumprojekta 5. pants par pienākumu izstrādāt pakalpojuma sniegšanas drošuma aprakstu, tā glabāšanu un informācijas sniegšanu tirgus uzraudzības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monetārā novērtējuma veikšanā pieejama Vadlīnijās tiesību akta sākotnējās ietekmes novērtēšanai un novērtējuma ziņojuma sagatavošanai vienotajā TAP portālā (pieejamas Ministru kabineta tīmkeļvietnē -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Administratīvā sloga mazināšana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informāciju par administratīvo izmaksu novērtējumu.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uztur iepriekš sniegto atzinumu ar iebildumu (25.09.2024.) par administratīvo izmaksu un atbilstības izmaksu monetāra novērtējuma nepieciešamību likumprojektā iekļautām prasībām par informācijas sniegšanu un atbilstības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Vēršu uzmanību, ka Preču un pakalpojumu drošuma likuma vēsturiskajās redakcijās (19.07.2000. un 01.05.2004.) nav vērtētas administratīvās izmaksas, līdz ar ko, nav pamatojuma apgalvojumam, ka pakalpojumu sniedzēju pienākumi ar likumprojektu pēc būtības nemainās, jo nepieciešamos pasākumus pakalpojumu drošuma nodrošināšanai pakalpojuma sniedzēji veic jau šobrīd.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lūdzu veikt likumprojektā iekļauto informācijas sniegšanas pienākumu un atbilstības prasību vērtējumu un atbilstoši vērtējumam veikt administratīvo izmaksu un atbilstības izmaksu monetāru novērtējumu, kas aizpildāms par fiziskām un juridiskām personām anotācijas 2. sadaļas 2.3., 2.4. apakšpunktā un valsts vai pašvaldību institūcijām 7. sadaļas 7.2., 7.3.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Vēršu uzmanību, ka iepriekš sniegtā atzinumā (25.09.2024.) ir iekļauta norāde uz metodiku administratīvo izmaksu monetārā novērtējuma veikšanā, kas pieejama Vadlīnijās tiesību akta sākotnējās ietekmes novērtēšanai un novērtējuma ziņojuma sagatavošanai vienotajā TAP portālā (turpmāk - vadlīnijas) (pieejamas Ministru kabineta tīmkeļvietnē - https://www.mk.gov.lv/lv/media/16905/download?attachment), kā arī vadlīniju sadaļā “Ietekme uz administratīvajām procedūrām un to izmaksām fiziskām un juridiskām personām”, ir norādīti izņēmuma gadījumi, kad nepastāv iespēja pilnvērtīgi veikt administratīvo izmaksu aprēķinu, kā arī norādīta iespējamā rīcība.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uz šo brīdi zināmajiem pakalpojumiem, uz kuriem būs attiecināms šis likums, regulējums ir paredzēts Ministru kabineta 2020.gada 7.janvāra noteikumos Nr.18  “Spēļu un rekreācijas laukumu drošuma noteikumi”, kuru sākotnējās ietekmes izvērtējuma ziņojumā ir veikts administratīvo izmaksu aprēķins, un šis likums neievieš izmaiņas, kas varētu ietekmēt administratīv'as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anotācijas 4.1.4. apakšsadaļā ietverto informāciju vēršam uzmanību, ka Ministru kabineta 2014. gada 9. decembra noteikumi Nr. 755 “Gāzes balonu aprites, uzraudzības un kontroles kārtība” izdoti tikai uz Preču un pakalpojumu drošuma likuma  8.</w:t>
            </w:r>
            <w:r w:rsidR="00000000" w:rsidRPr="00000000" w:rsidDel="00000000">
              <w:rPr>
                <w:vertAlign w:val="superscript"/>
                <w:rtl w:val="0"/>
              </w:rPr>
              <w:t xml:space="preserve">1</w:t>
            </w:r>
            <w:r w:rsidR="00000000" w:rsidRPr="00000000" w:rsidDel="00000000">
              <w:rPr>
                <w:rtl w:val="0"/>
              </w:rPr>
              <w:t xml:space="preserve"> pantā ietvertā pilnvarojuma pamata. Attiecīgi, Preču un pakalpojumu drošuma likumam zaudējot spēku, spēku zaudēs arī minētie noteikumi. Attiecīgi, ja nepieciešams saglabāt noteikumu spēkā esamību (proti, ja radīsies juridiskā vakuuma situācija, līdz tiks izdoti jaunie Ministru kabineta noteikumi), to nepieciešams noteikt likumprojekta pārejas noteikumos (piemēram, izmantojot praksē esošu formulējumu: "</w:t>
            </w:r>
            <w:r w:rsidR="00000000" w:rsidRPr="00000000" w:rsidDel="00000000">
              <w:rPr>
                <w:i w:val="1"/>
                <w:rtl w:val="0"/>
              </w:rPr>
              <w:t xml:space="preserve">Ministru kabinets līdz [..] izdod šā likuma [..] minētos Ministru kabineta noteikumus. Līdz minēto Ministru kabineta noteikumu spēkā stāšanās dienai ir spēkā [..] noteikumi Nr. [..], ciktāl tie nav pretrunā ar šo likumu.</w:t>
            </w:r>
            <w:r w:rsidR="00000000" w:rsidRPr="00000000" w:rsidDel="00000000">
              <w:rPr>
                <w:rtl w:val="0"/>
              </w:rPr>
              <w:t xml:space="preserve">"). Attiecīgi lūdzam izvērtēt un papildināt likumprojektu, kā arī precizēt anotāciju,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Likumprojekts ar jaunu pārejas noteikumu.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saiti uz likumprojekta publisko apspriešanu TAP publiskajā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6.3.apakšpunktu, norādot, kādi bija publiskās apspriešanas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ar jauno likumprojektu tiek nodalītas preču un pakalpojumu drošuma jomas, šī likumprojekta tvērums nav attiecināms uz jomām, kurās uzraudzību veic Pārtikas un veterinārais dienests un Valsts augu aizsardzības dienests. Ievērojot likumprojektā un anotācijas 1.3. sadaļā norādīto,  lūdzam svītrot minētos dienestus no anotācijas 7. sadaļas 7.1. punktā norādītā projekta izpildē iesaistīto institūciju saraksta vai sniegt konkrētas norādes anotācijā par minēto dienestu kompetenci.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7. sadaļas 7.1. punkta izslēgts Pārtikas un veterinārais dienests un Valsts augu aizsardzības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- 17.02.2025.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atsauc 2025. gada 4. februāra atzinumā ietverto iebildumu. Vienlaikus lūdzam papildināt anotāciju, uz kuriem pakalpojumiem attiecināms likumprojekta regulējums vai arī noteikt izņēmumus -  pakalpojumus, uz kuriem likumprojektā ietvertais regulējums nebūs attiecināms. Pašlaik nerodas pārliecība, ka izstrādātais likumprojekts neskar plašāku pakalpojumu loku, piemēram, transporta nozares pakalpojumus, kuru ietvaros jānodrošina drošums un drošība (skatīt ar Ministru kabineta 2021.gada 21.oktobra rīkojumu Nr.710 apstiprinātās Transporta attīstības pamatnostādnes 2021. - 2027.gadam, kurās drošība un drošums ir minēts kā būtisks nosacījums transporta nozares pakalpojumu attīstībā).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 pants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Pakalpojuma sniedzēja pienākums ir izstrādāt pakalpojuma sniegšanas drošuma aprakstu, kas ietver ar vispārīgu informāciju par sniegto pakalpojumu, pakalpojuma risku identificēšanu un vērtēšanu un citu personai būtisku informāciju. Pakalpojuma sniedzējs regulāri atjauno pakalpojuma sniegšanas drošuma aprakstu, īpaši ņemot vērā saņemtās sūdzības par pakalpojumu vai zināmos nelaimes gadījumus, kā arī gadījumos, ja pakalpojumā tiek veiktas izmaiņas.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konkretizēt, par kādu personu likumprojekta 5. panta otrās daļas 1. teikumā ("citu </w:t>
            </w:r>
            <w:r w:rsidR="00000000" w:rsidRPr="00000000" w:rsidDel="00000000">
              <w:rPr>
                <w:u w:val="single"/>
                <w:rtl w:val="0"/>
              </w:rPr>
              <w:t xml:space="preserve">personai</w:t>
            </w:r>
            <w:r w:rsidR="00000000" w:rsidRPr="00000000" w:rsidDel="00000000">
              <w:rPr>
                <w:rtl w:val="0"/>
              </w:rPr>
              <w:t xml:space="preserve"> būtisku informāciju") ir runa (proti, vai ir runa par pakalpojuma saņēmēju). Tāpat aicinām izvērtēt nepieciešamību un iespēju konkretizēt vai anotācijā skaidrot vārda "regulāri" izpratni normas ietvaros, ņemot vērā, ka tas varētu būt subjektīvi interpretējams. Papildus aicinām novērst neuzmanības kļūdu un likumprojekta 5. panta otrās daļas 1. teikumā izslēgt vārdu "ar".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4.panta trešā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Pakalpojuma sniedzēja pienākums ir sniegt patiesu un pilnīgu informāciju par pakalpojumu (arī brīdinājumus un lietošanas noteikumus), lai būtu iespējams novērtēt riskus, kas saistīti ar pakalpojuma izmantošanu normālā vai paredzamā to lietošanas vai izmantošanas periodā, ja šie riski nav uzreiz acīmredzami bez attiecīgiem brīdinājumiem, un veikt piesardzības pasākumus. Brīdināšana neatbrīvo no likumā noteikto pienākumu izpildes un atbildības.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likumprojekta 7. panta pirmajā daļā izslēgt vārdus "lietošanas vai" kā liekus. Alternatīvi lūdzam skaidrot, kā atšķiras lietošana no izmantošanas.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6.panta pirmā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Pakalpojuma sniedzēja pienākums ir sniegt patiesu un pilnīgu informāciju par pakalpojumu (arī brīdinājumus un lietošanas noteikumus), lai būtu iespējams novērtēt riskus, kas saistīti ar pakalpojuma izmantošanu normālā vai paredzamā izmantošanas periodā, ja šie riski nav uzreiz acīmredzami bez attiecīgiem brīdinājumiem, un veikt piesardzības pasākumus. Brīdināšana neatbrīvo no likumā noteikto pienākumu izpildes un atbildības.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pakalpojuma sniedzējam kļuvis zināms vai viņam kā lietpratējam vajadzēja zināt, ka pakalpojums rada risku, kas nav savienojams ar vispārējām drošuma prasībām, pakalpojuma sniedzējam par to ir nekavējoties jāinformē attiecīgās valsts uzraudzības un kontroles iestādes. Šis nosacījums īpaši attiecas uz tiem pasākumiem, kuri veicami, lai novērstu risku patērētājiem.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7. panta trešajā daļā precizēt vai anotācijā skaidrot, kas saprotams ar "vispārējām drošuma prasībām". Ja domātas šajā likumprojektā noteiktās prasības, tad aicinām tā arī norādīt ("šajā likumā noteiktajām drošuma prasībām"). Atgādinām, ka privātpersonām ir saistošas ārējos normatīvajos aktos noteiktās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vai 2. teikums, ņemot vērā likumprojekta 2. pantā ietverto pakalpojuma sniedzēja definīciju ("</w:t>
            </w:r>
            <w:r w:rsidR="00000000" w:rsidRPr="00000000" w:rsidDel="00000000">
              <w:rPr>
                <w:i w:val="1"/>
                <w:rtl w:val="0"/>
              </w:rPr>
              <w:t xml:space="preserve">Pakalpojuma sniedzējs ir fiziskā vai juridiskā persona, kas savas saimnieciskās vai profesionālās darbības ietvaros sniedz pakalpojumu</w:t>
            </w:r>
            <w:r w:rsidR="00000000" w:rsidRPr="00000000" w:rsidDel="00000000">
              <w:rPr>
                <w:i w:val="1"/>
                <w:u w:val="single"/>
                <w:rtl w:val="0"/>
              </w:rPr>
              <w:t xml:space="preserve"> patērētājam</w:t>
            </w:r>
            <w:r w:rsidR="00000000" w:rsidRPr="00000000" w:rsidDel="00000000">
              <w:rPr>
                <w:i w:val="1"/>
                <w:rtl w:val="0"/>
              </w:rPr>
              <w:t xml:space="preserve">, arī izmantojot citu personu starpniecību, kuras rīkojas pakalpojuma sniedzēja vārdā vai uzdevumā.</w:t>
            </w:r>
            <w:r w:rsidR="00000000" w:rsidRPr="00000000" w:rsidDel="00000000">
              <w:rPr>
                <w:rtl w:val="0"/>
              </w:rPr>
              <w:t xml:space="preserve">") nav lieks un nebūtu izslēdzams no trešās daļas, vai sniegt skaidrojumu par normas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6.panta trešā 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pakalpojuma sniedzējam kļuvis zināms vai viņam kā lietpratējam vajadzēja zināt, ka pakalpojums rada risku, kas nav savienojams ar šajā likumā un citos uz attiecīgo pakalpojumu attiecināmajos normatīvajos aktos noteiktajām drošuma prasībām, pakalpojuma sniedzējam par to ir nekavējoties jāinformē attiecīgās valsts uzraudzības un kontroles iestādes (turpmāk – tirgus uzraudzības iestādes). Šis nosacījums īpaši attiecas uz tiem pasākumiem, kuri veicami, lai novērstu risku patērētājiem.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Nopietns risks ir risks, kas, pamatojoties uz riska novērtējumu un ņemot vērā pakalpojuma parasto un paredzamo izmantošanu, ir uzskatāms par tādu, ka ir vajadzīga ātra tirgus uzraudzības iestāžu iejaukšanās, arī gadījumos, kad riska ietekme nav tūlītēja.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vai skaidrot, par kādu "riska novērtējumu" likumprojekta 7. panta ceturtajā daļā ir runa (proti, vai ir runa par pakalpojuma sniedzēja veiktu riska novērtējumu v.tml.).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izvērtēt un anotācijā skaidrot, vai visos gadījumos par nopietnu risku likumprojekta 7. panta ceturtās daļas izpratnē saprot risku, kas ir uzskatāms par tādu, ka ir vajadzīga ātra tirgus uzraudzības iestāžu iejaukšanās (proti, vai šis apstāklis ir pamatpazīme, lai konstatētu nopietnu risku, </w:t>
            </w:r>
            <w:r w:rsidR="00000000" w:rsidRPr="00000000" w:rsidDel="00000000">
              <w:rPr>
                <w:u w:val="single"/>
                <w:rtl w:val="0"/>
              </w:rPr>
              <w:t xml:space="preserve">arī gadījumā, kad riska ietekme nav tūlītēja</w:t>
            </w:r>
            <w:r w:rsidR="00000000" w:rsidRPr="00000000" w:rsidDel="00000000">
              <w:rPr>
                <w:rtl w:val="0"/>
              </w:rPr>
              <w:t xml:space="preserve"> - salīdzinājumam sk. Preču un pakalpojumu drošuma likuma 8. panta astoto daļu ("</w:t>
            </w:r>
            <w:r w:rsidR="00000000" w:rsidRPr="00000000" w:rsidDel="00000000">
              <w:rPr>
                <w:i w:val="1"/>
                <w:rtl w:val="0"/>
              </w:rPr>
              <w:t xml:space="preserve">Šā panta septītajā daļā noteiktā prasība attiecināma arī uz tādu nopietnu risku, kura </w:t>
            </w:r>
            <w:r w:rsidR="00000000" w:rsidRPr="00000000" w:rsidDel="00000000">
              <w:rPr>
                <w:i w:val="1"/>
                <w:u w:val="single"/>
                <w:rtl w:val="0"/>
              </w:rPr>
              <w:t xml:space="preserve">ietekme nav tūlītēja un tādējādi neprasa ātru valsts uzraudzības un kontroles iestāžu darbību</w:t>
            </w:r>
            <w:r w:rsidR="00000000" w:rsidRPr="00000000" w:rsidDel="00000000">
              <w:rPr>
                <w:i w:val="1"/>
                <w:rtl w:val="0"/>
              </w:rPr>
              <w:t xml:space="preserve">.</w:t>
            </w:r>
            <w:r w:rsidR="00000000" w:rsidRPr="00000000" w:rsidDel="00000000">
              <w:rPr>
                <w:rtl w:val="0"/>
              </w:rPr>
              <w:t xml:space="preserve">"). Ja nepieciešams, lūdzam precizēt likumprojektu, nodrošinot skaidru tiesību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6.panta ceturtā daļa. Kā arī Likumprojekta anotācijā jau šobrīd ir pievienots skaidrojums par riska vērtēšanu. Lai būtu iespējams pierādīt veikto pakalpojuma drošuma izvērtējumu pret iespējamiem riskiem, pakalpojuma sniedzēja pienākums ir izstrādāt pakalpojuma sniegšanas drošuma aprakstu, kurā ietverta informāciju par sniegto pakalpojumu, pakalpojuma risku identificēšanu un 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Nopietns risks ir risks, kas, pamatojoties uz ražotāja vai pakalpojuma sniedzēja veiktu riska novērtējumu un ņemot vērā pakalpojuma parasto un paredzamo izmantošanu, ir uzskatāms par tādu, kura negadījuma iespējamība un paredzamais iespējamais kaitējums vienā negadījumā sasniedz līmeni, kas prasa ātru tirgus uzraudzības iestāžu iejaukšanos, pat ja riska ietekme nav tūlītēja.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kabinets nosaka speciālās prasības vai nepieciešamos pasākumus riska mazināšanai vai novēršanai, pakalpojumu piedāvāšanas kārtību, kā arī to uzraudzības un kontroles kārtību pakalpojumiem, kas var radīt nopietnu risku cilvēku dzīvībai, veselībai, videi vai īpašumam.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precizēt likumprojekta 8. pantā ietverto pilnvarojumu, jau teikuma sākumā, nevis beigās konkretizējot, par kādu risku ir runa. Tāpat arī aicinām izvērtēt un precizēt vai anotācijā skaidrot, vai "pakalpojumu piedāvāšanas kārtība" nosakāma attiecībā uz visiem pakalpojumiem, uz ko attiecas likums, vai arī attiecībā uz pakalpojumiem, kas var radīt nopietnu risku cilvēku dzīvībai, veselībai, videi vai īpašumam.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izvērtēt pilnvarojuma atbilstību tiesību akta saturam, kuru paredzēts izdot uz šā pilnvarojuma pamata. Vēršam uzmanību, ka saskaņā ar Ministru kabineta iekārtas likuma 31. panta pirmās daļas 1. punktu, pilnvarojot Ministru kabinetu izdot noteikumus, pilnvarojumā jānorāda tā satura galvenie virzieni. Pilnvarojuma saturam ir jābūt tik skaidram, lai atklātu pilnvarojuma būtību un jēgu.[2] Nav pieļaujama personas pamattiesību ierobežošana, atsaucoties uz neskaidru vai pārprotamu likumdevēja pilnvarojumu.[3] Papildus arī skaidrojam, ka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attiecības.[4] Ja tiesību normā jēdziens "kārtība" nav izmantots, tad pilnvarojums ir atšķirīgs un aptver ne tikai tiesības regulēt darbību procesuālo aspektu.[5] Šajā sakarā vēršam uzmanību uz Administratīvā procesa likuma 11. pantā minēto, ka Ministru kabineta noteikumi var būt par pamatu privātpersonai nelabvēlīgam administratīvajam aktam vai faktiskai rīcībai tikai tad, ja likumā tieši vai netieši ir ietverts pilnvarojums Ministru kabinetam, izdodot noteikumus, tajos paredzēt šādus administratīvos aktus vai faktisko rīcību. Ievērojot minēto, aicinām izvērtēt un, ja nepieciešams, precizēt vai papildināt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aicinām anotācijā skaidrot attiecīgā pilnvarojuma būtību un nepieciešamību, kā arī aprakstīt jauno Ministru kabineta noteikumu saturisko ietvaru, tādējādi nodrošinot, ka vēlāk, izstrādājot Ministru kabineta noteikumu projektu, nepieciešamās lietas ir iespējams iekļaut projektā, jo to paredz pilnvarojuma saturiskais tvērums, kā arī pilnvarojumu vēlāk ir iespējams izpildīt, jo regulējamo jautājumu loks nav formulēts pārāk plaši.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Satversmes tiesas 2015. gada 14. oktobra spriedums lietā Nr. 2015-05-03, 13.1.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Satversmes tiesas 2011. gada 11. janvāra spriedums lietā Nr. 2010-40-03, 10.1.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Satversmes tiesas 2011. gada 6. maija spriedums lietā Nr. 2010-57-03, 13.3.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Satversmes tiesas 2016. gada 2. marta spriedums lietā Nr. 2015-11-03, 23.3.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7.pants.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pakalpojums var radīt nopietnu risku cilvēka dzīvībai, veselībai, videi vai īpašumam, Ministru kabinets nosaka speciālās prasības vai nepieciešamos pasākumus riska mazināšanai vai novēršanai, pakalpojumu piedāvāšanas kārtību, kā arī to uzraudzības un kontroles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uzraudzības iestāžu darbību koordinē un to savstarpēju sadarbību sekmē Tirgus uzraudzības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likumprojekta 9. panta otrā daļa dublē likuma "Par atbilstības novērtēšanu" 9.</w:t>
            </w:r>
            <w:r w:rsidR="00000000" w:rsidRPr="00000000" w:rsidDel="00000000">
              <w:rPr>
                <w:vertAlign w:val="superscript"/>
                <w:rtl w:val="0"/>
              </w:rPr>
              <w:t xml:space="preserve">2 </w:t>
            </w:r>
            <w:r w:rsidR="00000000" w:rsidRPr="00000000" w:rsidDel="00000000">
              <w:rPr>
                <w:rtl w:val="0"/>
              </w:rPr>
              <w:t xml:space="preserve">panta otro daļu. Attiecīgi lūdzam normu izslēgt vai sniegt pamatotu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normas par Tirgus uzraudzības padomi būs noteiktas arī Atbilstības novērtēšanas likumā, taču tās attieksies tikai uz precēm. Ar Likumprojektu paredzēts, ka šajā padomē var skatīt un lemt arī jautājumus par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uzraudzības iestāžu darbību koordinē un to savstarpēju sadarbību sekmē Tirgus uzraudzības padome.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kontrolēt un uzraudzīt pakalpojumu atbilstību drošuma prasībām, tajā skaitā bez speciālās atļaujas, maksas, citiem ierobežojumiem un iepriekšēja brīdinājuma netraucēti apmeklēt pakalpojumu tirdzniecības vietas, saimnieciskās darbības veicēja izmantotās telpas, teritorijas vai transportlīdzekļus, kā arī pārbaudes veikšanā piesaistīt neatkarīgus ekspertus;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likumprojekta 10. panta 1. punktu, konkretizēt, </w:t>
            </w:r>
            <w:r w:rsidR="00000000" w:rsidRPr="00000000" w:rsidDel="00000000">
              <w:rPr>
                <w:u w:val="single"/>
                <w:rtl w:val="0"/>
              </w:rPr>
              <w:t xml:space="preserve">kā (kādas)</w:t>
            </w:r>
            <w:r w:rsidR="00000000" w:rsidRPr="00000000" w:rsidDel="00000000">
              <w:rPr>
                <w:rtl w:val="0"/>
              </w:rPr>
              <w:t xml:space="preserve"> pārbaudes veikšanā tirgus uzraudzības iestāžu amatpersonas ir tiesības piesaistīt neatkarīgus ekspertus.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eksperts pārbaudes veikšanā būs nepieciešams tad, ja ir pamatotas aizdomas par pakalpojuma neatbilstību drošuma prasībām, bet Patērētāju tiesību aizsardzības centra eksperti paši šādu ekspertīzi nevar veikt.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kontrolēt un uzraudzīt pakalpojumu atbilstību drošuma prasībām, tajā skaitā bez speciālās atļaujas, maksas, citiem ierobežojumiem un iepriekšēja brīdinājuma netraucēti apmeklēt pakalpojumu tirdzniecības vietas, saimnieciskās darbības veicēja izmantotās telpas, teritorijas vai transportlīdzekļus, kā arī pārbaudes veikšanā piesaistīt neatkarīgus ekspertus, ja ir pamatotas aizdomas par pakalpojuma neatbilstību drošuma prasībām un tirgus uzraudzības iestāžu eksperti šādu ekspertīzi paši nevar veikt;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pieprasīt un bez maksas saņemt no saimnieciskās darbības veicēja, fiziskajām un privāto tiesību juridiskajām personām jebkādu informāciju, arī mutvārdos, neatkarīgi no veida vai formāta un no datu nesēja vai vietas, kurā tā tiek glabāta, tajā skaitā dokumentus, tehnisko dokumentāciju, tehniskās specifikācijas, datus vai cita veida informāciju, piekļūt iegultajai programmatūrai un citiem tehniskajiem aspektiem, ciktāl tas nepieciešams, lai pārliecinātos par pakalpojumu drošuma novērtēšanai vai attiecīgās iestādes funkciju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anotācijā skaidrot, kādēļ nepieciešama piebilde "vai attiecīgās iestādes funkciju izpildei", tostarp pamatojot šādas tirgus uzraudzības iestādes pilnvaras nepieciešamību un samērīgumu, kā arī skaidrot, par kādām attiecīgās iestādes funkcijām likumprojekta 10. panta 2. punkta piemērošanas kontekstā ir runa. Papildus lūdzam atkarībā no normas mērķa precizēt vārdus "pārliecinātos par pakalpojumu drošuma novērtēšanai", veidojot nepārprotamu un skaidru tiesību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iestādes funkcijas ir tādas, kas saistītas ar pakalpojuma sniegšanas uzraudzību. Piemēram, nepieciešams zināt, kas ražojis preci vai iekārtu, ar kuru sniegts pakalpojums, lai varētu sazināties ar ražotāju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pieprasīt un bez maksas saņemt no saimnieciskās darbības veicēja, fiziskajām un privāto tiesību juridiskajām personām jebkādu informāciju, arī mutvārdos, neatkarīgi no veida vai formāta un no datu nesēja vai vietas, kurā tā tiek glabāta, tajā skaitā dokumentus, tehnisko dokumentāciju, tehniskās specifikācijas, datus vai cita veida informāciju, piekļūt iegultajai programmatūrai un citiem tehniskajiem aspektiem, ciktāl tas nepieciešams, lai pārliecinātos par pakalpojumu drošuma novērtēšanu;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uzdot pakalpojuma sniedzējam veikt visaptverošu drošuma novērtējumu, ja ir pamatots iemesls uzskatīt, ka pakalpojums apdraud cilvēka veselību vai drošību.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1. pantā noteikto likuma mērķi, aicinām precizēt un papildināt likumprojekta 10. panta 5. punktu ar norādēm uz personas veselību un mantu. Alternatīvi aicinām sniegt skaidrojumu, kādēļ precizējums likumprojektā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9.panta 5.punkts.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uzdot pakalpojuma sniedzējam veikt visaptverošu drošuma novērtējumu, ja ir pamatots iemesls uzskatīt, ka pakalpojums apdraud cilvēka veselību, dzīvību, personas mantu vai vidi.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Tirgus uzraudzības iestādes veicina un atbalsta pakalpojumu sniedzēju brīvprātīgās darbības šajā likumā noteikto pienākumu izpildei (tai skaitā vadlīniju un labas pakalpojumu sniegšanas prakses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Apzināmies, ka šāda satura tiesību norma ietverta arī pašreiz spēkā esošā Preču un pakalpojumu drošuma likuma 13. panta astotajā daļā, tomēr aicinām anotācijā skaidrot (tostarp, ja nepieciešams, izmantojot piemērus), kas saprotams ar "veicināšanu un atbalstīšanu", ņemot vērā, ka normā noteiktais pienākums ir nekonkrēta satura.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Tirgus uzraudzības iestādes veicina un atbalsta pakalpojumu sniedzēju brīvprātīgās darbības šajā likumā noteikto pienākumu izpildei (tai skaitā vadlīniju un labas pakalpojumu sniegšanas prakses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Attiecīgā tirgus uzraudzības iestāde organizē vai nosaka veicamos pasākumus, kas minēti šā panta ceturtās daļas 2.punktā, ja pakalpojumu sniedzēju veiktās darbības šajā likumā noteikto pienākumu izpildei ir nepietiekamas.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sniegt skaidrojumu, kādēļ likumprojekta 12. panta septītajā daļā ietverta atsauce tikai un tieši uz "šā panta ceturtās daļas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šajā gadījumā tas attiecas uz tādiem gadījumiem, kad pakalpojums jau ir nedrošs. Tas nozīmē, ka gadījumā, ja pakalpojums ir nedrošs un pakalpojumu sniedzēju veiktās darbības šajā likumā noteikto pienākumu izpildei ir nepietiekamas, attiecīgā tirgus uzraudzības iestāde organizē vai nosaka veicamos pasākumus, kas minēti 11.panta ceturtās daļas 2.punktā.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Attiecīgā tirgus uzraudzības iestāde organizē vai nosaka veicamos pasākumus, kas minēti šā panta ceturtās daļas 2. punktā, ja pakalpojumu sniedzēju veiktās darbības šajā likumā noteikto pienākumu izpildei ir nepietiekamas.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Pakalpojumu sniedzēji piecu dienu laikā no izdevumus apliecinoša dokumenta saņemšanas atlīdzina izdevumus, kas tirgus uzraudzības iestādei radušies nodrošinot šī panta septītajā daļā minētos pasākumus. Ja pakalpojumu sniedzēji atsakās segt izdevumus, tirgus uzraudzības iestāde tos piedzen civilprocesuālā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likumprojekta 12. panta astotajā daļā noteikto, ka, ja pakalpojumu sniedzēji atsakās segt izdevumus, tirgus uzraudzības iestāde tos piedzen civilprocesuālā kārtībā, lūdzam anotācijā skaidrot, vai iestāde normā minētos pasākumus veic un lēmumus pieņem administratīvā procesa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Pakalpojumu sniedzēji piecu dienu laikā no izdevumus apliecinoša dokumenta saņemšanas atlīdzina izdevumus, kas tirgus uzraudzības iestādei radušies, nodrošinot šī panta astotajā daļā minētos pasākumus. Ja pakalpojumu sniedzēji atsakās segt izdevumus, tirgus uzraudzības iestāde tos piedzen Civilprocesa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pakalpojuma sniegšanu, neievērojot drošuma prasības, kā rezultātā radīts apdraudējums vai izraisīts negadījums, piemēro naudas sodu fiziskajai personai no septiņām līdz simt četrdesmit naudas soda vienībām, bet juridiskajai personai — no piecdesmit sešām līdz divtūkstoš astoņsimt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Precizējot likumprojektā ietverto regulējumu, atkārtoti aicinām paredzēt administratīvo atbildību par pārkāpumiem, kuri ir ar augstu bīstamības pakāpi un vairs nav novēršami. Grūti iedomāties, ka pakalpojuma drošuma prasību neievērošana varētu neradīt apdraudējumu. Minētie apsvērumi ir daudzreiz pārrunāti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tādā gadījumā arī tiktu novērsta regulējuma neatbilstība tiesību sistēmai, kad par vienu un to pašu pārkāpumu personai varētu tikt rosināti divi dažādi procesi, proti, administratīvais process un administratīvā pārkāpuma process.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svītrota nodaļa par administratīvo atbildību.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2014. gada 9. decembra noteikumi Nr. 755 “Gāzes balonu aprites, uzraudzības un kontroles kārtība”, ciktāl tie nav pretrunā ar šo likumu, ir spēkā līdz dienai, kad stājas spēkā tos aizstājoši Ministru kabineta noteikumi, kas izdoti saskaņā ar šā likuma 7. pantu. Ministru kabinets šādus Ministru kabineta noteikumus izdod līdz 2025. gada 1. jūlijam.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projekta pārejas noteikumu 2. punktā minētie Ministru kabineta noteikumi, kurus paredzēts izdot līdz 2025. gada 1. jūlijam uz projekta 7. pantā ietvertā pilnvarojuma pamata, ņemot vērā tajos regulējamo saturisko jautājumu loku (proti, </w:t>
            </w:r>
            <w:r w:rsidR="00000000" w:rsidRPr="00000000" w:rsidDel="00000000">
              <w:rPr>
                <w:u w:val="single"/>
                <w:rtl w:val="0"/>
              </w:rPr>
              <w:t xml:space="preserve">gāzes balonu</w:t>
            </w:r>
            <w:r w:rsidR="00000000" w:rsidRPr="00000000" w:rsidDel="00000000">
              <w:rPr>
                <w:rtl w:val="0"/>
              </w:rPr>
              <w:t xml:space="preserve"> aprite), netiks drīzāk izdoti uz likumprojekta "Grozījumi likumā "Par atbilstības novērtēšanu" (24-TA-1754) 6. pantā ietvertā likuma 9.</w:t>
            </w:r>
            <w:r w:rsidR="00000000" w:rsidRPr="00000000" w:rsidDel="00000000">
              <w:rPr>
                <w:vertAlign w:val="superscript"/>
                <w:rtl w:val="0"/>
              </w:rPr>
              <w:t xml:space="preserve">12</w:t>
            </w:r>
            <w:r w:rsidR="00000000" w:rsidRPr="00000000" w:rsidDel="00000000">
              <w:rPr>
                <w:rtl w:val="0"/>
              </w:rPr>
              <w:t xml:space="preserve"> panta pamata: "</w:t>
            </w:r>
            <w:r w:rsidR="00000000" w:rsidRPr="00000000" w:rsidDel="00000000">
              <w:rPr>
                <w:i w:val="1"/>
                <w:rtl w:val="0"/>
              </w:rPr>
              <w:t xml:space="preserve">Ja noteiktas </w:t>
            </w:r>
            <w:r w:rsidR="00000000" w:rsidRPr="00000000" w:rsidDel="00000000">
              <w:rPr>
                <w:i w:val="1"/>
                <w:u w:val="single"/>
                <w:rtl w:val="0"/>
              </w:rPr>
              <w:t xml:space="preserve">preces</w:t>
            </w:r>
            <w:r w:rsidR="00000000" w:rsidRPr="00000000" w:rsidDel="00000000">
              <w:rPr>
                <w:i w:val="1"/>
                <w:rtl w:val="0"/>
              </w:rPr>
              <w:t xml:space="preserve"> vai </w:t>
            </w:r>
            <w:r w:rsidR="00000000" w:rsidRPr="00000000" w:rsidDel="00000000">
              <w:rPr>
                <w:i w:val="1"/>
                <w:u w:val="single"/>
                <w:rtl w:val="0"/>
              </w:rPr>
              <w:t xml:space="preserve">preču</w:t>
            </w:r>
            <w:r w:rsidR="00000000" w:rsidRPr="00000000" w:rsidDel="00000000">
              <w:rPr>
                <w:i w:val="1"/>
                <w:rtl w:val="0"/>
              </w:rPr>
              <w:t xml:space="preserve"> grupas var radīt nopietnu risku cilvēka dzīvībai, veselībai, videi vai īpašumam, Ministru kabinets nosaka speciālās prasības, tajā skaitā attiecībā uz </w:t>
            </w:r>
            <w:r w:rsidR="00000000" w:rsidRPr="00000000" w:rsidDel="00000000">
              <w:rPr>
                <w:i w:val="1"/>
                <w:u w:val="single"/>
                <w:rtl w:val="0"/>
              </w:rPr>
              <w:t xml:space="preserve">preču apriti</w:t>
            </w:r>
            <w:r w:rsidR="00000000" w:rsidRPr="00000000" w:rsidDel="00000000">
              <w:rPr>
                <w:i w:val="1"/>
                <w:rtl w:val="0"/>
              </w:rPr>
              <w:t xml:space="preserve">, vai nepieciešamos pasākumus riska mazināšanai vai novēršanai, kā arī to uzraudzības un kontroles kārtību</w:t>
            </w:r>
            <w:r w:rsidR="00000000" w:rsidRPr="00000000" w:rsidDel="00000000">
              <w:rPr>
                <w:rtl w:val="0"/>
              </w:rPr>
              <w:t xml:space="preserve">". Attiecīgi aicinām izvērtēt un, ja nepieciešams, izslēgt no projekta 2. pantu un pārcelt to uz minēto likumprojektu, vienlaikus izvērtējot arī iespēju pārejas noteikumu 1. punktu pārcelt uz minēto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aicinām izvērtēt un precizēt anotācijas 4. sadaļu. Piemēram, aicinām precizēt anotācijas 4.1.4. apakšsadaļu, jo, tā kā Ministru kabineta 2014. gada 9. decembra noteikumi Nr. 755 "Gāzes balonu aprites, uzraudzības un kontroles kārtība" (turpmāk - noteikumi Nr. 755) ir izdoti tikai uz Preču un pakalpojumu drošuma likumā ietvertā pilnvarojuma pamata, būs nepieciešams izdot jaunus Ministru kabineta noteikumus, nevis grozīt noteikumus Nr. 755.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bet likumprojekta Pārejas noteikumus nolemts atstāt negrozītus. Jauni Ministru kabineta noteikumi "Gāzes balonu aprites, uzraudzības un kontroles kārtība" tiks izdoti gan uz Pakalpojumu likuma drošuma pamata, gan uz likuma "Par atbilstības novērtēšanu" pamata, jo minētie noteikumi satur prasības gan precēm, gan arī pakalpojumiem, piemēram, gāzes balonu uzstādīšana un noma. Precizēta arī anotācijas 4.1.4.sadaļa.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2014. gada 9. decembra noteikumi Nr. 755 “Gāzes balonu aprites, uzraudzības un kontroles kārtība”, ciktāl tie nav pretrunā ar šo likumu, ir spēkā līdz dienai, kad stājas spēkā tos aizstājoši Ministru kabineta noteikumi, kas izdoti saskaņā ar šā likuma 7. pantu. Ministru kabinets šādus Ministru kabineta noteikumus izdod līdz 2025. gada 1. jūlijam.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1.1. apakšsadaļu, norādot korektu tajā minētās regulas pieņemšanas gadu (proti, regula pieņemta 2023. gadā, nevis 2003.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1.1. sadaļā projekta aprakstā precizēt Eiropas Parlamenta un Padomes Regulas (ES) 2023/988 pieņemšanas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skaidrības labad precizēt anotācijas 1.2. apakšsadaļā norādīto spēkā stāšanās termiņa pamatojumu, norādot, ka likumprojekta spēkā stāšanās termiņš noteikts, ņemot vērā to, ka attiecīgo </w:t>
            </w:r>
            <w:r w:rsidR="00000000" w:rsidRPr="00000000" w:rsidDel="00000000">
              <w:rPr>
                <w:rtl w:val="0"/>
              </w:rPr>
              <w:t xml:space="preserve">regulu piemēro no 2024. gada 13. decembra, kā arī norādot, ka spēkā stāšanās termiņš salāgots ar likumprojekta "Grozījumi likumā "Par atbilstības novērtēšanu"" (24-TA-1754) spēkā stāšanās datumu.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minēts: "</w:t>
            </w:r>
            <w:r w:rsidR="00000000" w:rsidRPr="00000000" w:rsidDel="00000000">
              <w:rPr>
                <w:i w:val="1"/>
                <w:rtl w:val="0"/>
              </w:rPr>
              <w:t xml:space="preserve">[..] likumprojekta konstrukcija paredz, ka pamatā to piemēro jebkuram pakalpojumam, ko sniedz patērētājam Patērētāju tiesību aizsardzības likuma 1. panta 3. punkta izpratnē un kuriem ir tieša vai netieša ietekme uz cilvēka dzīvību vai veselību [..]</w:t>
            </w:r>
            <w:r w:rsidR="00000000" w:rsidRPr="00000000" w:rsidDel="00000000">
              <w:rPr>
                <w:rtl w:val="0"/>
              </w:rPr>
              <w:t xml:space="preserve">." Pirmkārt, aicinām svītrot vārdu "pamatā" kā lieku. Otrkārt, aicinām precīzi un pilnīgi norādīt likuma piemērošanas jomu atbilstoši likumprojekta 2. pantam.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attiecībā uz terminu "administratīvā procesa ietekmes līdzekļi", jo saskaņā ar Administratīvā procesa likumu, ja administratīvā akta adresāts labprātīgi to neizpilda, piemērojami piespiedu izpildes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pārskatīt un precizēt likumprojekta anotācijas 1.3.apakšpunkta "Pašreizējā situācija, problēmas un risinājumi" visu sadaļu saturu un visā anotācijas tekstā lūdzam lietot korektu likuma nosaukumu. Proti, aizstāt vārdus "Atbilstības novērtēšanas likums" ar vārdiem " likums "Par atbilstības novērtēšanu"", tostarp ievērojot lielā sākumburta lietošanas prasības likuma nosaukumā.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likumprojekts ir jauna likuma - Pakalpojumu drošuma likuma - projekts, nevis grozījumu Preču un pakalpojumu drošuma likumā projekts. Attiecīgi lūdzam precizēt anotācijā ietvertos skaidrojumus (piemēram, "</w:t>
            </w:r>
            <w:r w:rsidR="00000000" w:rsidRPr="00000000" w:rsidDel="00000000">
              <w:rPr>
                <w:i w:val="1"/>
                <w:rtl w:val="0"/>
              </w:rPr>
              <w:t xml:space="preserve">nepieciešams precizēt atsevišķas normas Preču un pakalpojumu drošuma likumā</w:t>
            </w:r>
            <w:r w:rsidR="00000000" w:rsidRPr="00000000" w:rsidDel="00000000">
              <w:rPr>
                <w:rtl w:val="0"/>
              </w:rPr>
              <w:t xml:space="preserve">"). Lūdzam arī, ņemot vērā iepriekš minēto, papildināt anotācijā ietvertos skaidrojumus, izvērstāk pamatojot un skaidrojot likumprojektā ietverto personu un institūciju pienākumus un tiesības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1.3.apakšpunkta "Pašreizējā situācija, problēmas un risinājumi" sadaļas "Problēmas un risinājumi" apakšsadaļas "Risinājuma apraksts" norādīts, ka Atbilstības novērtēšanas likums izvēlēts kā atbilstošākais normatīvais akts, jo nosaka tirgus uzraudzības principus un nosacījumus nepārtikas preču atbilstībai.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lietot korektu likuma nosaukumu un aizstāt vārdus "Atbilstības novērtēšanas likums" ar vārdiem " likums "Par atbilstības novērtēšanu"".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anotācijā norādīto, ka "</w:t>
            </w:r>
            <w:r w:rsidR="00000000" w:rsidRPr="00000000" w:rsidDel="00000000">
              <w:rPr>
                <w:i w:val="1"/>
                <w:rtl w:val="0"/>
              </w:rPr>
              <w:t xml:space="preserve">ar likumprojektu tiek veiktas tehniska rakstura izmaiņas šobrīd spēkā esošajā Preču un pakalpojumu drošuma likuma regulējumā</w:t>
            </w:r>
            <w:r w:rsidR="00000000" w:rsidRPr="00000000" w:rsidDel="00000000">
              <w:rPr>
                <w:rtl w:val="0"/>
              </w:rPr>
              <w:t xml:space="preserve">". Piemēram, bet ne tikai, projektā, salīdzinot ar Preču un pakalpojumu drošuma likuma regulējumu, nav ietvertas normas par administratīvo atbildību.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 sadaļu par likumprojekta ietekmi uz sabiedrības grupām, ietekmi uz tautsaimniecības attīstību un administratīvo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(ex-ante) 1.1. sadaļas likumprojekta izstrādes pamatojumā  norādīts, ka 2003.gada 10.maijā tika pieņemta jauna Eiropas Parlamenta un Padomes Regula (ES) 2023/988 par ražojumu vispārēju drošumu, ar ko groza Eiropas Parlamenta un Padomes Regulu (ES) Nr. 1025/2012 un Eiropas Parlamenta un Padomes Direktīvu (ES) 2020/1828 un atceļ Eiropas Parlamenta un Padomes Direktīvu 2001/95/EK un Padomes Direktīvu 87/357/EEK (turpmāk – Regula 2023/988), kas aizstāj Direktīvu 2001/95/EK. Ņemot vērā, ka direktīva tiek aizstāta ar regulu, preču drošuma prasības turpmāk tiks noteiktas Regulā 2023/988, attiecīgi nepieciešams pārskatīt Preču un pakalpojumu drošuma likumu, tajā saglabājot normas, kas attiecas tikai uz pakalpojumu drošumu.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attiecīgi ir aizpildāma arī anotācijas 5. sadaļa par likumprojekta atbilstību Regulas 2023/988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preču un pakalpojumu drošumu pašlaik regulē Preču un pakalpojumu drošuma likums. Un 2023.gada 10.maijā tika pieņemta jauna Regula 2023/988. Tā kā preču drošuma prasības turpmāk tiks noteiktas Regulā 2023/988, attiecīgi nepieciešams pārskatīt Preču un pakalpojumu drošuma likumu. Atsevišķas normas no preču un pakalpojumu drošuma likuma tiks iekļautas Likumā “Par atbilstības novērtēšanu” un attiecīgiem grozījumiem. Savukārt Preču un pakalpojumu drošuma likums zaudēs spēku un tā vietā tiks pieņemts Pakalpojumu drošuma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pakalpojumiem ieviestas atbilstoši nacionālajai iniciatīvai, nevis, lai ieviestu minētās Regulas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apakšsadaļu par sabiedrības līdzdalības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It īpaši ņemot vērā, ka sagatavots jauns likumprojekts, lūdzam izvērtēt, vai anotācijas 7. sadaļa, tostarp 7.4. apakšsadaļa, ir aizpildīta pilnīgi un atbilstoši likumprojektā ietvertajam tiesiskajam regulējumam. Ja nepieciešams, aicinām precizēt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(ex-ante) 7.1. sadaļā norādīts, ka šā likuma ievērošanu uzrauga un kontrolē iestāde, kurai šāda atbildība paredzēta saskaņā ar normatīvo aktu. Tirgus uzraudzību dažādās jomās veic šādas institūcijas: Patērētāju tiesību aizsardzības centrs, Veselības inspekcija, Pārtikas un veterinārais dienests, Būvniecības valsts kontroles birojs, Valsts augu aizsardzības dienests, Valsts darba inspekcija, Valsts vides dienests, Valsts Tehniskās uzraudzības aģentūra, Valsts policija, VSIA "Latvijas proves birojs".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Pirotehnisko izstrādājumu aprites likuma 21. pantā noteikts, ka pirotehnisko izstrādājumu aprites uzraudzību veic ne tikai Valsts policija (par uguņošanas ierīcēm un skatuves pirotehniskajiem izstrādājumiem), bet atbilstoši savai kompetencei arī citas valsts pārvaldes institūcijas un Aizsardzības ministrija (par militāro pirotehniku).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Civilām vajadzībām paredzētu sprāgstvielu aprites likuma 29. pants tostarp noteic, ka atbilstoši savai kompetencei Valsts policija un Valsts ieņēmumu dienesta muitas iestādes atbilstības novērtēšanas reglamentējošos normatīvajos aktos noteiktajām prasībām kontrolē sprāgstvielu un spridzināšanas ietaišu realizāciju (pirmā daļa). Savukārt šā likuma 29. panta otrā daļa noteic, ka Valsts policija, Drošības policija, Valsts ugunsdzēsības un glābšanas dienests un Valsts vides dienests atbilstoši savai kompetencei kontrolē sprāgstvielu un spridzināšanas ietaišu izgatavošanas, realizēšanas, glabāšanas un pārvadāšanas noteikumu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Valsts policijas kompetencē ietilpst tikai minētās jomas.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attiecīgi papildināt 7.1. sadaļu ar institūcijām, kuras atbilstoši atbilstības novērtēšanas reglamentējošos normatīvajos aktos noteiktajām prasībām veic tirgus uzraudzību konkrētajās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drošuma likums attiecas uz pakalpojumiem, kuriem noteiktas drošuma prasības vai nepieciešamie pasākumi riska mazināšanai vai novēršanai. Pirotehnikas izstrādājumi neatbilst pakalpojuma definīcijai un attiecīgi neietilpst likuma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24-TA-1022</w:t>
    </w:r>
    <w:r>
      <w:br/>
    </w:r>
    <w:r w:rsidR="00000000" w:rsidRPr="00000000" w:rsidDel="00000000">
      <w:rPr>
        <w:rtl w:val="0"/>
      </w:rPr>
      <w:t xml:space="preserve">29.04.2025. 09.20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24-TA-1022</w:t>
    </w:r>
    <w:r>
      <w:br/>
    </w:r>
    <w:r w:rsidR="00000000" w:rsidRPr="00000000" w:rsidDel="00000000">
      <w:rPr>
        <w:rtl w:val="0"/>
      </w:rPr>
      <w:t xml:space="preserve">29.04.2025. 09.20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Izziņa_24-TA-1022.docx</dc:title>
</cp:coreProperties>
</file>

<file path=docProps/custom.xml><?xml version="1.0" encoding="utf-8"?>
<Properties xmlns="http://schemas.openxmlformats.org/officeDocument/2006/custom-properties" xmlns:vt="http://schemas.openxmlformats.org/officeDocument/2006/docPropsVTypes"/>
</file>