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23-TA-1258: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plašāku vienkāršoto izmaksu piemērošanu 5.1.1.7.pasākumā "Reģionālās kultūras infrastruktūras attīstība kultūras pakalpojumu pieejamības uzlabošana", ņemot vērā vienkāršoto izmaksu izvērtējumā “Vienkāršoto izmaksu piemērošanas iespējas 2021.-2027. gada ES fondu plānošanas periodā” norādīto par augstu praktisku iespējamību piemērot vienkāršotās izmaksas minētajam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pasākuma ietvaros nav iespējams nodrošināt vienotu pieeju personāla izmaksu piemērošanā dažāda apjoma būvniecības projektiem ar atšķirīgu gatavības pakāpi un plānoto īstenošanas laika periodu, kur projektu īstenošanai nepieciešama dažāda apjoma resursu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5.1.1.7. pasākuma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nav iespējama.”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17 400 000</w:t>
            </w:r>
            <w:r w:rsidR="00000000" w:rsidRPr="00000000" w:rsidDel="00000000">
              <w:rPr>
                <w:i w:val="1"/>
                <w:rtl w:val="0"/>
              </w:rPr>
              <w:t xml:space="preserve"> euro</w:t>
            </w:r>
            <w:r w:rsidR="00000000" w:rsidRPr="00000000" w:rsidDel="00000000">
              <w:rPr>
                <w:rtl w:val="0"/>
              </w:rPr>
              <w:t xml:space="preserve"> (tai skaitā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(tai skaitā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un pašvaldības līdzfinansējums) – ne mazāk kā 2 610 000 </w:t>
            </w:r>
            <w:r w:rsidR="00000000" w:rsidRPr="00000000" w:rsidDel="00000000">
              <w:rPr>
                <w:i w:val="1"/>
                <w:rtl w:val="0"/>
              </w:rPr>
              <w:t xml:space="preserve">euro</w:t>
            </w:r>
            <w:r w:rsidR="00000000" w:rsidRPr="00000000" w:rsidDel="00000000">
              <w:rPr>
                <w:rtl w:val="0"/>
              </w:rPr>
              <w:t xml:space="preserve"> (tai skaitā elastības finansējuma apjoms – 411 663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20.punkts paredz, ka projektu iesniedzēji pasākuma ietvaros būs Cēsu novada pašvaldība un valsts akciju sabiedrība "Valsts nekustamie īpašumi", ir precizējama noteikumu projekta 11.punkta redakcija, skaidri nodalot nacionālā līdzfinansējuma apmēru pa finansējumu avotiem, vienlaikus anotācijā norādot, par kādu valsts pārvaldes deleģēto uzdevumu izpildi valsts budžeta līdzfinansējums paredzams valsts akciju sabiedrībai "Valsts nekustamie īpašumi”. Vienlaikus lūdzam svītrot noteikumu projekta 11.punktā vārdus "ne mazāk kā" pirms nacionālā finansējuma apmēra.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"Valsts nekustamie īpašumi” par valsts pārvaldes deleģēto uzdevumu izpildi (valsts nekustamā īpašuma pārvaldība un valsts nekustamā īpašuma attīstības vadība) paredzams valsts budžeta līdzfinansējums. Valsts akciju sabiedrība "Valsts nekustamie īpašumi” pārvalda valsts sabiedrības ar ierobežotu atbildību “Valmieras drāmas teātris” ēku.”.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17 400 000</w:t>
            </w:r>
            <w:r w:rsidR="00000000" w:rsidRPr="00000000" w:rsidDel="00000000">
              <w:rPr>
                <w:i w:val="1"/>
                <w:rtl w:val="0"/>
              </w:rPr>
              <w:t xml:space="preserve"> euro</w:t>
            </w:r>
            <w:r w:rsidR="00000000" w:rsidRPr="00000000" w:rsidDel="00000000">
              <w:rPr>
                <w:rtl w:val="0"/>
              </w:rPr>
              <w:t xml:space="preserve"> (tai skaitā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(tai skaitā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1 860 000 </w:t>
            </w:r>
            <w:r w:rsidR="00000000" w:rsidRPr="00000000" w:rsidDel="00000000">
              <w:rPr>
                <w:i w:val="1"/>
                <w:rtl w:val="0"/>
              </w:rPr>
              <w:t xml:space="preserve">euro</w:t>
            </w:r>
            <w:r w:rsidR="00000000" w:rsidRPr="00000000" w:rsidDel="00000000">
              <w:rPr>
                <w:rtl w:val="0"/>
              </w:rPr>
              <w:t xml:space="preserve">) – 2 610 000 </w:t>
            </w:r>
            <w:r w:rsidR="00000000" w:rsidRPr="00000000" w:rsidDel="00000000">
              <w:rPr>
                <w:i w:val="1"/>
                <w:rtl w:val="0"/>
              </w:rPr>
              <w:t xml:space="preserve">euro</w:t>
            </w:r>
            <w:r w:rsidR="00000000" w:rsidRPr="00000000" w:rsidDel="00000000">
              <w:rPr>
                <w:rtl w:val="0"/>
              </w:rPr>
              <w:t xml:space="preserve"> (tai skaitā elastības finansējuma apjoms – 411 663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2. panta 18. punkta c) apakšpunkta nosacījumiem, lūdzam papildināt noteikumu projektu ar normu, ka šis nosacījums tiks pārbaudīts, piemēram, balstoties uz atbalsta pretendenta iesniegtu apliecinājumu, t.sk. paredzot, ka šāda apliecinājuma iesniegšana ir paredzēta atbalsta sniedzēja projektu vērtēšanas kritēriju metodikā. Lūdzam ar atbilstošu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44.5.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finansējuma saņēmējs un sadarbības partneris projekta iesniegumam apliecinājumu, kas apliecina atbilstību Komisijas regulas Nr. 651/2014 2. panta 18. punkta c) apakšpunkta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finansējuma saņēmējs un sadarbības partneris projekta iesniegumam pievieno apliecinājumu, kas apliecina atbilstību Komisijas regulas Nr. 651/2014 2. panta 18. punkta c) apakšpunkta nosacījumiem. Apliecinājuma iesniegšana tiks vērtēta atbilstoši projektu iesniegumu vērtēšanas kritēriju metodikā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statusam saskaņā ar Regulas Nr. 651/2014 2. panta 18. punkta definīciju;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norāda, ka atbilstoši Ministru kabineta 2014.gada 14.oktobra noteikumiem Nr.628 “Noteikumi par pašvaldību teritorijas attīstības plānošanas dokumentiem” pašvaldības attīstības programmā ietilpst stratēģiskā daļa, kurā ietvertas vidēja termiņa prioritātes un rīcības virzieni (pasākumu kopums); rīcības plāns un investīciju plāns, kurus izstrādā ne mazāk kā triju gadu periodam; attīstības programmas īstenošanas uzraudzības un novērtēšanas kārtība, kurā noteikti rezultatīvie rādītāji un uzraudzības pārskata sniegšanas biežums un saturs. Līdz ar to nepieciešams precizēt noteikumu projekta 26.punkta redakciju, lai ir skaidrs pasākuma īstenošanas nosacījums – kas tiks vērtēts attiecībā uz pašvaldību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Pašvaldībai, kuras teritorijā īsteno projektu, projekta iesnieguma iesniegšanas dienā ir apstiprināta pašvaldības attīstības programma, un projektā plānotās investīcijas sniedz ieguldījumu pašvaldības attīstības programmā noteikto rīcības virzienu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veic izmaksu un ieguvumu analīzi atbilstoši sadarbības iestādes izstrādātajiem metodiskajiem norādījumiem,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27.punktā svītrot "atbilstoši sadarbības iestādes izstrādātajiem metodiskajiem norādījumiem", jo MK noteikumumu "Kārtība, kādā Eiropas Savienības fondu vadībā iesaistītās institūcijas nodrošina šo fondu ieviešanu 2021.–2027.gada plānošanas periodā" anotācijā noteikts (patreizējai redakcijai): "Ja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w:t>
            </w:r>
            <w:r w:rsidR="00000000" w:rsidRPr="00000000" w:rsidDel="00000000">
              <w:rPr>
                <w:b w:val="1"/>
                <w:rtl w:val="0"/>
              </w:rPr>
              <w:t xml:space="preserve">veicot to sadarbībā ar atbildīgo iestādi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iesniedzējs veic izmaksu un ieguvumu analīzi </w:t>
            </w:r>
            <w:r w:rsidR="00000000" w:rsidRPr="00000000" w:rsidDel="00000000">
              <w:rPr>
                <w:strike w:val="1"/>
                <w:rtl w:val="0"/>
              </w:rPr>
              <w:t xml:space="preserve">atbilstoši sadarbības iestādes izstrādātajiem metodiskajiem norādījumiem</w:t>
            </w:r>
            <w:r w:rsidR="00000000" w:rsidRPr="00000000" w:rsidDel="00000000">
              <w:rPr>
                <w:rtl w:val="0"/>
              </w:rPr>
              <w:t xml:space="preserve">,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veic izmaksu un ieguvumu analīzi, ievērojot, ka projekta ekonomiskā ienesīguma norma ir lielāka par sociālo diskonta likmi un projekta ekonomiskā neto pašreizējā vērtība ir lielāka par nulli.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pienākumu finansējuma saņēmējam izstrādāt nosacījumus, kā tas pārliecinās par interešu konflikta (ievērojot Regulas 2018/1046 61. pantā noteikto), krāpšanas un korupcijas risku neesamību, kā arī, noteikt, ka finansējuma saņēmējs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31.8.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"Vienlīdzība, iekļaušana, nediskriminācija un pamattiesību ievērošana" rādītāju – objektu skaits, kuros Eiropas Reģionālās attīstības fonda ieguldījumu rezultātā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horizontālā principa "Vienlīdzība, iekļaušana, nediskriminācija un pamattiesību ievērošana" (turpmāk – HP VINPI) rādītāju, ņemot vērā, ka 5.1.1.7 pasākumam ir netieša ietekme uz minēto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HP VINPI rādītāji noteikti Labklājības ministrijas un Tieslietu ministrijas kopīgi izstrādāto vadlīniju “Horizontālais princips “Vienlīdzība, iekļaušana, nediskriminācija un pamattiesību ievērošana” īstenošanai un uzraudzībai (2021-2027) 4.pielikumā;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apakšpunktā noteikts horizontālā principa "Vienlīdzība, iekļaušana, nediskriminācija un pamattiesību ievērošana" rādītājs – objektu skaits, kuros Eiropas Reģionālās attīstības fonda ieguldījumu rezultātā ir nodrošināta vides un informācijas piekļūstamība.”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31.3. apakšpunktā minētā horizontālā principa "Vienlīdzība, iekļaušana, nediskriminācija un pamattiesību ievērošana" (turpmāk - HP) īstenošanu praksē,  aicinām noteikumu projektā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atbilstošus risinājumus publiskās infrastruktūras un pakalpojumu piekļūstamībai, ir jāparedz izmaksas vides piekļūstamības ekspertu konsultāciju nodrošināšanai. Konsultācijas palīdzēt rast labākos risinājumus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veidojot šo noteikumu 32.1. apakšpunktā minēto jauno kultūras pakalpojumu saturisko piedāvājumu, ir jānodrošina tā atbilstību piekļūstamības prasībām, proti, lai informācijas vai pakalpojuma saturs būtu piekļūstams, izmantojot vairākus sensoros (redze, dzirde, tauste) kanālus, kā arī lai tas būtu labi uztverama personām ar garīga rakstura traucējumiem, lasītprasmes vai uztveres grūtībām. Līdz būs nepieciešami zīmju valodas tulku, vieglās valodas tulkošanas, reāllaika transkripcijas, subtitru nodrošināšanas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32.1. un 32.2. darbības īstenošanai un vides piekļūstamības ekspertu konsultāciju nodrošināšanai 32.3. un 32.5. darbības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35.11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izmaksas horizontālā principa “Vienlīdzība, iekļaušana, nediskriminācija un pamattiesību ievērošana” darbību īstenošanai tai skaitā zīmju valodas tulku, vieglās valodas tulkošanas, reāllaika transkripcijas, subtitru nodrošināšanas pakalpojumu izmaksas šo noteikumu 32.1. un 32.2. apakšpunktā minēto darbību īstenošanai un vides piekļūstamības ekspertu konsultāciju nodrošināšanai šo noteikumu 32.3. un 32.5. apakšpunktā minēto darbību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projekta vadības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informācijas sakritību noteikumu projekta 34.2. un 35.1. apakšpunktos. Vēršam uzmanību, ka noteikumu projekta 34.2. apakšpunktā kā atbalstāmā darbība norādīta projekta vadības nodrošināšana, savukārt tālāk noteikumu projekta 35.1. apakšpunktā minētas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projekta vadības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plāno kā vienu izmaksu pozīciju, piemērojot netiešo izmaksu vienoto likmi 15 procentu apmērā no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minētajām izmaksām, netiešo izmaksu vienoto likmi nepiemērojot projektiem, kas kvalificējami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nevienlīdzīga pieeja izmaksu attiecināšanā, proti, netiešo izmaksu piemērošana tikai projektos, kas nav kvalificējami kā komercdarbības atbalsts. Līdz ar to aicinām pārvērtēt noteikumu projekta attiecīgā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plāno kā vienu izmaksu pozīciju, piemērojot netiešo izmaksu vienoto likmi 15 procentu apmērā no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minētajām izmaksām, izņemot pakalpojuma līguma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kas sekmē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lai nodrošinātu, ka ir skaidrs, kuras no šajā normā uzskaitītajām izmaksām būtu attiecināmas ar Komisijas regulas Nr. 651/2014 53. panta 4. punktu kā ar ieguldījuma atbalstu saistītas izmaksas un kuras ar Komisijas regulas Nr. 651/2014 53. panta 5. punktu kā ar darbības atbalstu saistītas izmaksas. Attiecīgi lūdzam papildināt anotācijas V.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35., 37. un 38. punktā minētās izmaksas atbilst Komisijas regulas Nr. 651/2014 53. panta 4. punktam un ir attiecināmas, ja tās ir ieguldījumi materiālajos aktīvos, kā noteikts Regulas Nr. 651/2014 2. panta 29. punktā, vai nemateriālajos aktīvos, kā noteikts Regulas Nr. 651/2014 2. panta 30. punktā, un ir saistītas ar pamatlīdzekļa vērtību vai pašas par sevi veido pamatlīdzekļa vērtību, izņemot šo noteikumu 35.10. apakšpunktā minētās izmaksas, ja projekta iesniegumam sniegtais atbalsts ir uzskatāms par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izmaksas atbilst Eiropas Komisijas 2014. gada 17. jūnija regulas (ES) Nr.651/2014, ar ko noteiktas atbalsta kategorijas atzīst par saderīgām ar iekšējo tirgu, piemērojot Līguma 107. un 108. pantu (Dokuments attiecas uz EEZ) (turpmāk – Regula Nr.651/2014) 53. panta 4. punktam un attiecīgi ir ieguldījumu atbalsts par ieguldījumiem materiālajos un nemateriālajos aktīvos, tostarp izmaksas par infrastruktūras izbūvi, modernizēšanu, konservāciju vai uzlabošanu, izmaksas par materiālā un nemateriālā kultūras mantojuma aizsardzību, saglabāšanu, restaurēšanu un atjaunošanu, tostarp papildu izmaksas par glabāšanu piemērotos apstākļos, speciāliem instrumentiem, materiāliem un dokumentēšanas, izpētes, digitalizācijas un publicēšanas izmaksas, izmaksas, lai uzlabotu kultūras mantojuma piekļūstamību sabiedrībai, tostarp digitalizācijas un citu jauno tehnoloģiju izmaksas, izmaksas, lai uzlabotu piekļūstamību personām ar īpašām vajadzībām (jo īpaši uzbrauktuves un lifti personām ar invaliditāti, norādes Braila rakstā un aptaustāmi eksponāti muzejos) un veicinātu kultūru daudzveidību priekšnesumu, programmu un apmeklētāju ziņā, izmaksas par kultūras projektiem un pasākumiem, sadarbības un apmaiņas programmām un stipendijām, tostarp atlases procedūru izmaksas, popularizēšanas izmaksas un izmaksas, kas radušās tieši projekta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kas sekmē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turpinām uzturēt iepriekšēja atzinumā izteikto iebildumu un lūdzam izvērtēt iespēju izstrādāt un piemērot vienības izmaksu standarta likmi personāla atlīdzības izmaksu segšanai saskaņā ar Finanšu ministrijas vadlīnijām Nr.1.1. "Vadlīnijas par vienkāršoto izmaksu izmantošanas iespējām un to piemērošana Eiropas Savienības kohēzijas politikas programmas 2021.–2027.gadam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vienības izmaksu standarta likmi personāla atlīdzības izmaksu segšanai nav iespējams piemērot,  jo pasākuma ietvaros ir atšķirīgi projekta īstenotāji - pašvaldība un valsts akciju sabiedrība “Valsts nekustamie īpašumi”, kur katram projekta īstenotājam atlīdzības apmēru reglamentē atbilstošs normatīvais regulējums. Attiecīgi uz valsts akciju sabiedrība "Valsts nekustamie īpašumi" neattiecas pašvaldības atalgojuma likmes un otrādāk.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un īstenošanas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izmaksu segšanai piemērot vienkāršoto izmaksu risinājumus, piemēram, piemērot Regulas Nr.2021/1060 55. panta 1.punktā noteikto iespēju, tas ir,  izmantot līdz 20% vienoto likmi, vai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vienkāršoto izmaksu piemērošana personāla atlīdzības izmaksu segšanai nav iespējama, lūdzam to argumentēti aprakstīt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pasākuma ietvaros nav iespējams nodrošināt vienotu pieeju personāla izmaksu piemērošanā dažāda apjoma būvniecības projektiem ar atšķirīgu gatavības pakāpi un plānoto īstenošanas laika periodu, kur projektu īstenošanai nepieciešama dažāda apjoma resursu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5.1.1.7. pasākuma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nav iespējama.”.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Neparedzētie izdevumi nepārsniedz piecus procentus no projekta kopējām tiešajām attiecināmajām izmaksām,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 - 2027.gada plānošanas periodā" 12.2.apakšpunktu, atbildīgā iestāde izvērtē katram specifiskajam atbalsta mērķim (turpmāk - SAM) vai tā atlases kārtai nepieciešamo procentuālo neparedzēto izdevumu apmēru atkarībā no tā, cik apjomīgus un sarežģītus projektus paredzēts īstenot attiecīgajā SAM, un nosaka to Ministru kabineta (turpmāk - MK) noteikumos par SAM īstenošanu. Procentuālajam neparedzēto izdevumu apmēram, kas iekļauts MK noteikumos par SAM īstenošanu, ir jābūt pamatotam un balstītam uz lietderības un efektivitātes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sniegt izvērstāku pamatojumu anotācijā, kāpēc tika izvēlēts tieši šāds neparedzēto izdevumu apjoms (5 %).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“Ņemot vērā to, ka Ministru kabineta 2017.gada 3.maija noteikumi Nr. 239 “Noteikumi par Latvijas būvnormatīvu LBN 501-17 "Būvizmaksu noteikšanas kārtība"" nosaka, ka  būvniecības koptāmē ietver pasūtītāja finanšu rezervi neparedzētiem darbiem un izdevumiem – būvdarbu izpildes laikā atklātu nepieciešami veicamo darbu un sadārdzinājuma finansēšanai, Projekts nosaka, ka neparedzētie izdevumi nepārsniedz piecus procentus no projekta kopējām tiešajām attiecināmajām izmaksām. Neparedzēto izdevumu piecu procentu apmērs noteikts, ņemot vērā būvniecības praksi.”.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Neparedzētie izdevumi nepārsniedz piecus procentus no projekta kopējām tiešajām attiecināmajām izmaksām, un to izlietošanu finansējuma saņēmējs saskaņo ar sadarbības iestādi, ievērojot vienošanos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35.10.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valsts atbalstu komercdarbībai.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39. punktu kopsakarā ar noteikumu projekta 35. punktā minētajām izmaksām, jo atsevišķas 35. punktā minētās izmaksas pašas par sevi veido pamatlīdzekļa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minētās izmaksas atbilst Komisijas regulas Nr. 651/2014 53. panta 4. punktam un ir attiecināmas, ja tās ir ieguldījumi materiālajos aktīvos, kā noteikts Regulas Nr. 651/2014 2. panta 29. punktā, vai nemateriālajos aktīvos, kā noteikts Regulas Nr. 651/2014 2. panta 30. punktā, un ir saistītas ar pamatlīdzekļa vērtību vai pašas par sevi veido pamatlīdzekļa vērtību, izņemot šo noteikumu </w:t>
            </w:r>
            <w:r w:rsidR="00000000" w:rsidRPr="00000000" w:rsidDel="00000000">
              <w:rPr>
                <w:rtl w:val="0"/>
              </w:rPr>
              <w:t xml:space="preserve">35.10.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komercdarbības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projekta izmaksas ir pieaugušas, finansējuma saņēmējs un sadarbības partneris sedz sadārdzinājumu no saviem līdzekļiem. Ja atbalsta sniegšana tam specifiskā atbalsta ietvaros ir kvalificējama kā valsts atbalsts komercdarbībai, projekta iesniedzējs un sadarbības partneris privāto finansējumu nodrošina no tādiem pašu līdzekļiem, par kuriem nav saņemts nekāds publisks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40.punktu, norādot, uz kuru finansējuma saņēmēju attiecas nosacījumi sadārdzinājuma segšanai, ņemot vērā, ka valsts pārvaldes iestādes nevar plānot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projekta izmaksas ir pieaugušas, finansējuma saņēmējs un sadarbības partneris, kas nav valsts budžeta iestāde, sedz sadārdzinājumu no saviem līdzekļiem. Ja atbalsta sniegšana tam specifiskā atbalsta ietvaros ir kvalificējama kā komercdarbības atbalsts, finansējuma saņēmējs un sadarbības partneris privāto finansējumu nodrošina no tādiem pašu līdzekļiem, par kuriem nav saņemts nekāds publisks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komercdarbībai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iestādei projekta dzīves cikla laikā ir jāuzrauga, vai nesaimniecisks projekts nekļūst par valsts atbalsta projektu, lūdzam noteikumu projektu papildināt ar šādu punktu: "Projekta pārskata periodā (projekta dzīves cikla laikā)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42. 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Projekta pārskata periodā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42.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komercdarbībai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komercdarbības atbalsta saņēmējs var būt ne tikai projekta iesniedzējs, bet arī sadarbības partneris, lūdzam precizēt šajā nodaļā noteiktās prasības tā, lai tās būtu attiecināmas arī uz sadarbības partneriem, kas atbilstoši noteikumu projekta 21.punktam ir pašvaldības un valsts kapitālsabiedrības. Lūdzam atbilstoši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VII. sadaļa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projekta uzraudzību visā projekta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normas attiecībā uz jēdziena "projekta pārskata perioda" lietojumu, ņemot vērā to, ka atšķirībā no jēdziena "projekta dzīves cikla laikā", nav skaidrs, vai lietotais jēdziens "projekta pārskata periods" termiņa ziņā ir pielīdzināms projekta dzīves cikla laikam. Lūdzam nodrošināt jēdziena atbilstību komercdarbības atbalsta kontroles regulējuma prasībām, proti, nodrošināt uzraudzību visā amortizācijas periodā – projekta dzīves ciklā. Lūdzam anotācijā skaidrot arī kurā dokumentā tiek definēts aktīvu amortizācijas perioda noteiktais ilgums, piemēram, Komisijas 2014. gada 3. marta Deleģētajā Regulā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vai kādā nacionālā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uzraudzību jānodrošina visā projekta pārskata periodā, projektā lietotais jēdziens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projekta uzraudzību visā projekta pārskata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valsts atbalstu komercdarbībai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 Šo noteikumu ietvaros pamatdarbības peļņas definīcija atbilst Regulas Nr. 651/2014 2.panta 39.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50.panta izriet, ka varētu būt gadījumi, kad projektā vai projekta daļā var rasties lielāka peļņa no pamatdarbības.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50.punktā ietverto jēdzienu “projekta daļa” attiecībā uz kuru ir veicama uzraudzība par lielākas peļņas rāšanos nekā projektā plānots. Šobrīd no noteikumu projekta normas nav skaidra jēdziena “projekta daļa”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komercdarbības atbalstu sniedz saskaņā ar Regulas Nr. 651/2014 53. pantu un ja attiecīgajā projektā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 Šo noteikumu ietvaros pamatdarbības peļņas definīcija atbilst Regulas Nr. 651/2014 2.panta 39.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pamatojumu valsts budžeta līdzfinansējuma paredzēšanai valsts akciju sabiedrībai "Valsts nekustamie īpašumi” par kultūras nozares deleģētās funkcijas īstenošanu atjaunojamajā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“Valsts nekustamie īpašumi” par valsts pārvaldes deleģēto uzdevumu izpildi (valsts nekustamā īpašuma pārvaldība un valsts nekustamā īpašuma attīstības vadība) paredzams valsts budžeta līdzfinansējums. Valsts akciju sabiedrība "Valsts nekustamie īpašumi” pārvalda valsts sabiedrības ar ierobežotu atbildību “Valmieras drāmas teātris” ēku, kas  nodota bezatlīdzības lietošanā valsts sabiedrībai ar ierobežotu atbildību “Valmieras drāmas teātris” deleģēto valsts pārvaldes uzdevumus kultūras jomā pildīšanai atbilstoši līgumiem, kas noslēgti ar Latvijas Republikas Kultūras ministriju par kultūras funkciju veikšanu un to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visā noteikumu projekta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informāciju, ka, veidojot kultūras infrastruktūru un pakalpojumus, tiks nodrošinātas ANO Konvencijā par personu ar invaliditāti tiesībām noteiktās personu ar invaliditāti tiesības piedalīties kultūras dzīvē vienlīdzīgi ar citiem,veicot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vārds “pieejamība” aizstāts ar vārdu “piekļūstamība”, izņemot gadījumus, ja ir citāts.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kultūras infrastruktūru un pakalpojumus, tiks nodrošinātas Apvienoto Nāciju Organizācijas Konvencijā par personu ar invaliditāti tiesībām noteiktās personu ar invaliditāti tiesības piedalīties kultūras dzīvē vienlīdzīgi ar citiem, 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Revīzijas palātas īpašā ziņojuma “ES ieguldījumi kultūras objektos: jautājums, kas pelnījis lielāku vērību un koordināciju” (EU investments in cultural sites: a topic that deserves more focus and coordination; 04.06.2020) izteikto ieteikumu “Stiprināt ERAF finansēto kultūras vietu finansiālo ilgtspēju, vadošajām iestādēm jāpārbauda, vai finansējuma saņēmējiem ir nepieciešamie finanšu resursi un mehānismi darbības un uzturēšanas izmaksu segšanai.”, lūdzam papildināt anotāciju ar informāciju, kā plānots nodrošināt ieteikumā minēto, ka pēc ES fondu ieguldījumiem kultūras objektos tie kļūtu pašpietiekamāki uzturēšanas resursu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objekta pašpietiekamība un ilgtspēja tiks vērtēta atbilstoši objekta darbības stratēģijai.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 kā arī projekta iesnieguma iesniegšanas dienā ir apstiprināta objektu darbības stratēģija vai publiskās ārtelpas apraksts, kas pamato objekta attīstības sociālekonomiskos ieguvumus un paredz objekta uzturēšanu ilgtermiņā, tai skaitā, paredzot veicināt vietējo iedzīvotāju sociālo iekļaušanu. Paredzot objekta uzturēšanu ilgtermiņā, finansējuma saņēmējs norāda plānotos finanšu avotus.”.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tiks nodrošināta projektu ietvaros sasniegto rezultātu/ rādītāju ilgtspēja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 kā arī projekta iesnieguma iesniegšanas dienā ir apstiprināta objektu darbības stratēģija vai publiskās ārtelpas apraksts, kas pamato objekta attīstības sociālekonomiskos ieguvumus un paredz objekta uzturēšanu ilgtermiņā, tai skaitā, paredzot veicināt vietējo iedzīvotāju sociālo iekļaušanu. Paredzot objekta uzturēšanu ilgtermiņā, finansējuma saņēmējs norāda plānotos finanšu avotus.”.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pasākuma ietvaros plānotie projekti un to ietvaros plānotās darbības veicinās Eiropas Savienības stratēģijā Baltijas jūras reģionam (ESSBJR) noteikto mērķu sasniegšanu, ņemot vērā Eiropas Savienības kohēzijas politikas programmā 2021-2027.gadam norādīto par 5.1.1.specifiskā atbalsta mērķa “Vietējās teritorijas integrētās sociālās, ekonomiskās un vides attīstības un kultūras mantojuma, tūrisma un drošības veicināšana pilsētu funkcionālajās teritorijās” sasaisti ar ESSBJR.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projekti un to ietvaros plānotās darbības veicinās Eiropas Savienības stratēģijā Baltijas jūras reģionam (ESSBJR) noteikto mērķu “Kultūra” sasniegšanu, nodrošinot Baltijas jūras reģiona kultūras mantojuma saglabāšanu un reģionālās identitātes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skaidro Cēsu novada pašvaldības iesaisti šajā projektā, ņemot vērā, ka Latvijas Nacionālais arhīvs ir valsts budžeta iestāde, bet Valmieras drāmas teātris -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sagatavotā konceptuālā ziņojuma projekta „Par Latvijas Nacionālā arhīva Vidzemes reģiona centra, Cēsu Vēstures un mākslas muzeja krātuvju un Valsts zemes dienesta Vidzemes reģionālās pārvaldes centrālā arhīva izveidi Cēsīs” (23-TA-1701) (turpmāk – Konceptuālais ziņojums) 2. risinājuma variants paredz, ka par projekta ieceres “Latvijas Nacionālā arhīva Vidzemes reģiona centra, Cēsu Vēstures un mākslas muzeja krātuvju un Valsts zemes dienesta Vidzemes reģionālās pārvaldes centrālā arhīva izveidi Ata Kronvalda ielā 37, Cēsīs, Cēsu novadā” (turpmāk – iecere) īstenošanu atbildīga ir Cēsu novada pašvaldība, paredzot, ka Cēsu novada pašvaldības pienākums ir nodrošināt finansējuma esamību ieceres īstenošanai, t.i., sākot ar būvprojekta izstrādi līdz ēkas pieņemšanai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ieceres īstenošanas un ēkas pieņemšanas ekspluatācijā, Latvijas Nacionālais arhīvs noslēdz ar Cēsu novada pašvaldību nomas līgumu un Kultūras ministrija un Latvijas Nacionālais arhīvs noslēdz ar Cēsu novada pašvaldību kopīpašuma lietošanas līgumu. Pēc nomas līguma un kopīpašuma lietošanas līguma noslēgšanas Cēsu novada pašvaldība organizē visa nekustamā īpašuma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paredz noslēgt nodomu protokolu starp Cēsu novada pašvaldību, Latvijas Nacionālo arhīvu, Kultūras ministriju un Valsts zemes dienestu par sadarbību ieceres īstenošanā. Pēc Konceptuālais ziņojuma 2. risinājuma varianta atbalstīšanas Ministru kabinetā secīgi tiktu noslēgts sadarbības līgums, kurā konkrēti atrunātas iesaistīto pušu savstarpējās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iniciatīvu kļūt par zemes īpašuma un uz tā uzbūvētās ēkas kopīpašnieku pēc ēkas būvniecības pabeigšanas (ēkas pieņemšanas ekspluatācijā), nepieciešams Cēsu novada domes konceptuāls lēmums, ar kuru tiek atbalstīta iecere nodot bez atlīdzības īpašumā valstij Kultūras ministrijas personā zemes īpašuma domājamās daļas un jaunuzbūvētās ēkas domājamās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un ēkas domājamās daļas tiek aprēķinātas proporcionāli Eiropas Savienības fondu piešķirtajam finansējumam un Latvijas Nacionālā arhīva ieguldījumam Latvijas Nacionālā arhīva Vidzemes reģiona centra izbūvei un precīzs domājamo daļu sadalījums tiks noteikts tikai pēc ēkas pieņemšanas ekspluatācijā, kad Cēsu novada pašvaldība pieņems konkrētu lēmumu ar precīzu proporciju un īpašuma domājamo daļu nodošanu īpašumā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un ēkas daļu, kas netiks sadalīta domājamās daļās pēc ēkas pieņemšanas ekspluatācijā, ko aizņems Latvijas Nacionālais arhīvs, tiek sadalīta pēc nomas līguma termiņa beigām, kad atbilstoši noslēgtajam Cēsu novada pašvaldības un Latvijas Nacionālā arhīva nomas līgumam Latvijas Nacionālais arhīvs atmaksās Cēsu novada pašvaldības ieguldījumu, t.i., pēc Cēsu novada pašvaldības faktiski radušos kapitālieguldījumu segšanas attiecībā par Latvijas Nacionālā arhīva izbūvētās ēkas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12.punktu projektu iesniegumos pasākuma īstenošanai kopējo pasākuma pieejamo finansējumu plāno ne vairāk kā 14 655 580 euro apmērā, tai skaitā Eiropas Reģionālās attīstības fonda finansējumu – 12 457 243 euro apmērā un nacionālo finansējumu (valsts budžeta un pašvaldības budžeta līdzfinansējums)</w:t>
            </w:r>
            <w:r w:rsidR="00000000" w:rsidRPr="00000000" w:rsidDel="00000000">
              <w:rPr>
                <w:rtl w:val="0"/>
              </w:rPr>
              <w:t xml:space="preserve">– 2 198 337 </w:t>
            </w:r>
            <w:r w:rsidR="00000000" w:rsidRPr="00000000" w:rsidDel="00000000">
              <w:rPr>
                <w:rtl w:val="0"/>
              </w:rPr>
              <w:t xml:space="preserve">euro</w:t>
            </w:r>
            <w:r w:rsidR="00000000" w:rsidRPr="00000000" w:rsidDel="00000000">
              <w:rPr>
                <w:rtl w:val="0"/>
              </w:rPr>
              <w:t xml:space="preserve"> apmērā. P</w:t>
            </w:r>
            <w:r w:rsidR="00000000" w:rsidRPr="00000000" w:rsidDel="00000000">
              <w:rPr>
                <w:rtl w:val="0"/>
              </w:rPr>
              <w:t xml:space="preserve">rojekta iesniedzēji ir Cēsu novada pašvaldība un valsts akciju sabiedrība  "Valsts nekustamie īpašumi", t</w:t>
            </w:r>
            <w:r w:rsidR="00000000" w:rsidRPr="00000000" w:rsidDel="00000000">
              <w:rPr>
                <w:rtl w:val="0"/>
              </w:rPr>
              <w:t xml:space="preserve">omēr anotācijas III</w:t>
            </w:r>
            <w:r w:rsidR="00000000" w:rsidRPr="00000000" w:rsidDel="00000000">
              <w:rPr>
                <w:rtl w:val="0"/>
              </w:rPr>
              <w:t xml:space="preserve"> sadaļā nacionālais finansējums ir norādīts tikai pie pašvaldības budžeta izdevumiem. Ievērojot minēto, lūdzam </w:t>
            </w:r>
            <w:r w:rsidR="00000000" w:rsidRPr="00000000" w:rsidDel="00000000">
              <w:rPr>
                <w:rtl w:val="0"/>
              </w:rPr>
              <w:t xml:space="preserve">precizēt </w:t>
            </w:r>
            <w:r w:rsidR="00000000" w:rsidRPr="00000000" w:rsidDel="00000000">
              <w:rPr>
                <w:rtl w:val="0"/>
              </w:rPr>
              <w:t xml:space="preserve">anotācijas III sadaļā </w:t>
            </w:r>
            <w:r w:rsidR="00000000" w:rsidRPr="00000000" w:rsidDel="00000000">
              <w:rPr>
                <w:rtl w:val="0"/>
              </w:rPr>
              <w:t xml:space="preserve">noteikumu projekta ietekmi uz pašvaldības budžetiem vai attiecīgi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III sadaļas informācija par finansējuma sadalījumu pa avotiem 2024. gadā un Noteikumu projekta anotācijas III sadaļas 6. punkts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plānotās attiecīgās izdevumu proporcijas dalījumā pa gadiem indikatīvi ir šādas: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5 500 000 </w:t>
            </w:r>
            <w:r w:rsidR="00000000" w:rsidRPr="00000000" w:rsidDel="00000000">
              <w:rPr>
                <w:i w:val="1"/>
                <w:rtl w:val="0"/>
              </w:rPr>
              <w:t xml:space="preserve">euro</w:t>
            </w:r>
            <w:r w:rsidR="00000000" w:rsidRPr="00000000" w:rsidDel="00000000">
              <w:rPr>
                <w:rtl w:val="0"/>
              </w:rPr>
              <w:t xml:space="preserve">; (ERAF 4 675 000 </w:t>
            </w:r>
            <w:r w:rsidR="00000000" w:rsidRPr="00000000" w:rsidDel="00000000">
              <w:rPr>
                <w:i w:val="1"/>
                <w:rtl w:val="0"/>
              </w:rPr>
              <w:t xml:space="preserve">euro</w:t>
            </w:r>
            <w:r w:rsidR="00000000" w:rsidRPr="00000000" w:rsidDel="00000000">
              <w:rPr>
                <w:rtl w:val="0"/>
              </w:rPr>
              <w:t xml:space="preserve">; nacionālais finansējums 825 000 </w:t>
            </w:r>
            <w:r w:rsidR="00000000" w:rsidRPr="00000000" w:rsidDel="00000000">
              <w:rPr>
                <w:i w:val="1"/>
                <w:rtl w:val="0"/>
              </w:rPr>
              <w:t xml:space="preserve">euro</w:t>
            </w:r>
            <w:r w:rsidR="00000000" w:rsidRPr="00000000" w:rsidDel="00000000">
              <w:rPr>
                <w:rtl w:val="0"/>
              </w:rPr>
              <w:t xml:space="preserve">, tai skaitā valsts budžeta līdzfinansējums 750 000 </w:t>
            </w:r>
            <w:r w:rsidR="00000000" w:rsidRPr="00000000" w:rsidDel="00000000">
              <w:rPr>
                <w:i w:val="1"/>
                <w:rtl w:val="0"/>
              </w:rPr>
              <w:t xml:space="preserve">euro </w:t>
            </w:r>
            <w:r w:rsidR="00000000" w:rsidRPr="00000000" w:rsidDel="00000000">
              <w:rPr>
                <w:rtl w:val="0"/>
              </w:rPr>
              <w:t xml:space="preserve">un pašvaldības līdzfinansējums 75 000 </w:t>
            </w:r>
            <w:r w:rsidR="00000000" w:rsidRPr="00000000" w:rsidDel="00000000">
              <w:rPr>
                <w:i w:val="1"/>
                <w:rtl w:val="0"/>
              </w:rPr>
              <w:t xml:space="preserve">euro</w:t>
            </w:r>
            <w:r w:rsidR="00000000" w:rsidRPr="00000000" w:rsidDel="00000000">
              <w:rPr>
                <w:rtl w:val="0"/>
              </w:rPr>
              <w:t xml:space="preserve">).; Šajā gadā paredzēts īstenot valsts akciju sabiedrības "Valsts nekustamie īpašumi" projektu un izmantot visu Projektā tam paredzēto finansējuma apmēru. Nākamajos gados paredzēts izmantot tikai pašvaldības līdzfinansējumu;”.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ministriju, kura lūgs veikt nepieciešamā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“Kultūras ministrija lūgs veikt nepieciešamā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tabulas veikto atbilstības izvērtējumu attiecībā uz Komisijas regulas Nr. 651/2014 53. panta 2. punkta "a", "b", “c”, “d” vai “e” apakšpunktu pret korektajiem MK noteikumu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anotācijas 5.4. sadaļas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sadaļas 1. tabulu “Tiesību akta projekta atbilstība ES tiesību aktiem” ar MK noteikumu 11.punkta izvērtējumu pret Komisijas regulas Nr.  651/2014 4. panta 1. punkta "z"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anotācijas 5.4. sadaļas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papildinot ar  horizontālā principa "Vienlīdzība, iekļaušana, nediskriminācija un pamattiesību ievērošana" vispārīgo un specifisko darbību aprakstu.  Vienlaikus informāciju par HP darbībām lūdzam salāgot ar 27.04.2023. apakškomitejas sēdē saskaņoto kritēriju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pasākuma projekta īstenošanā, ņemot vērā konkrēto darbību specifiku, tiks izvērtēta iespēja iekļaut darbības, kas veicina horizontālā principa “Vienlīdzība, iekļaušana, nediskriminācija un pamattiesību ievērošana” ievērošanu,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tiks nodrošināts, ka informācija publiskajā telpā, t.sk. tīmeklī, ir piekļūstama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projekta tīmekļa vietnē tiks norādīta informācija par projekta darbību īstenošanas vietas piekļūstamību cilvēkiem ar invaliditāti un funkcionāliem traucējumiem, vecākiem ar maziem bērniem un senioriem;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projektu vadībā un īstenošanā tiks virzīti pasākumi, kas sekmē darba un ģimenes dzīves līdzsvaru, paredzot elastīga un nepilna laika darba iespēju nodrošināšanu vecākiem ar bērniem un personām, kuras aprūpē tuviniekus;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projekta vadības un īstenošanas procesā personām ar invaliditāti tiks nodrošināta piekļūstamība, tostarp, pielāgota darba vieta un pielāgotas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projekta ietvaros tiks nodrošinātas vides piekļūstamības ekspertu konsultācijas, tās paredzot projektēšanas un būvniecības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papildus būvnormatīvā LBN 200-21 noteiktajam,  projekta ietvaros tiks īstenotas labās prakses darbības, kas īpaši veicina vides piekļūstamību cilvēkiem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Labklājības ministrijas metodisko materiālu “Ieteikumi diskrimināciju un stereotipus mazinošai komunikācijai ar sabiedrību”, (pieejams: https://www.lm.gov.lv/lv/metodiskie-materiali; https://www.lm.gov.lv/lv/media/18838/download).”.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lietots termins "valsts atbalsts komercdarbībai", aicinām to aizstāt ar terminu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termins “valsts atbalsts komercdarbībai” aizstāts ar terminu “komercdarbības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kopējo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11.punktā minēto, lūdzam papildināt noteikumu projekta 1.3.apakšpunktu ar vārdiem "plānoto un" pirms vārda "pieejamo".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kopējo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projekta sadarbības partneriem (ja tos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1.4.apakšpunktu un  svītrot vārdu "projekta" pirms vārdiem "sadarbības partneriem", kā arī svītrot vārdus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un projekta sadarbības partneriem (ja tos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"finansējuma saņēmējam" aiz vārda "iesniedzējam", ņemot vērā, ka noteikumu projekts paredz arī uz finansējuma saņēmēju attiecināmu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īstenošanu nodrošina Kultūras ministrija kā atbildīgā iestāde (turpmāk – atbildīgā iestāde) un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funkciju veikšanu Centrālajai finanšu un līgumu aģentūrai nosaka Eiropas Savienības fondu 2021.—2027. gada plānošanas perioda vadības likums, ierosinām svītrot punkta daļu "un sadarbības iestādes funkcijas veic Centrālā finanšu un līgumu aģentūra (turpmāk –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īstenošanu nodrošina Kultūras ministrija kā atbildīgā iestāde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 punktu ar vārdiem "Finansējuma saņēmējs" pirms vārda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projektu īsteno saskaņā ar vienošanos par projekta īstenošanu,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mērķa grupa ir iedzīvotāji, vietējie un starptautiskie tūristi, kultūras infrastruktūras objektu apmeklētāji un saistīto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"tai skaitā personas ar invalidiāti"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iedzīvotāji, vietējie un starptautiskie tūristi, kultūras infrastruktūras objektu apmeklētāji, tai skaitā personas ar invalidiāti, un saistīto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5.1.1.7. pasākuma mērķa grupa Noteikumu projektā ir norādīta atbilstoši ES kohēzijas politikas programmā 2021.-2027.gadam norādītajam, ko Noteikumu projektā nav iespējams precizēt.  Tomēr atbilstoši precizējumi veikti Noteikumu projekta anotācijā, jo minētā mērķa grupa pēc būtības jau ietilpst 5.1.1.7. pasākuma mērķa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“5.1.1.7. pasākuma mērķa grupa ir iedzīvotāji, vietējie un starptautiskie tūristi, kultūras infrastruktūras objektu apmeklētāji un saistīto pakalpojumu sniedzēji, tāpat uzsvaru liekot arī uz personām ar invaliditāti. Projekta ietvaros investīcijas plānotas objektos un infrastruktūrā, veicinot sociālo iekļaušanu, tai skaitā, uzlabojot kultūras objektu piekļūstamību cilvēkiem ar īpašām vajadzībām un stiprinot vietējo iedzīvotāju kopienas jaunas sociālās dinamikas radīšanai un nodrošinot pievilcīgu vidi vietējiem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mērķa grupa ir iedzīvotāji, vietējie un starptautiskie tūristi, kultūras infrastruktūras objektu apmeklētāji un saistīto pakalpojumu sniedzēji.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10.punktā noteiktos sasniedzamos uzraudzības rādītājus, lūdzam papildināt anotāciju ar informāciju par 5.1.1.SAM "Vietējās teritorijas integrētās sociālās, ekonomiskās un vides attīstības un kultūras mantojuma, tūrisma un drošības veicināšana pilsētu funkcionālajās teritorijās" (5.1.1.SAM) iznākuma rādītāja RCO 77 "Atbalstīto kultūras un tūrisma objektu skaits" un rezultātu rādītāja RCR 77 "Atbalstīto kultūras un tūrisma vietu apmeklētāji" sasniedzamo vērtību sadalījumu pa pasākumiem, lai gūtu pārliecību, ka tiks sasniegtas ES kohēzijas politikas programmā 2021. - 2027.gadam noteiktās 5.1.1.SAM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sasniedzamo rādītāju sadalījums pa 5.1.1. specifiskā atbalsta mērķa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Kultūras ministrija plāno sagatavot grozījumus Eiropas Savienības kohēzijas politikas programmā 2021.-2027.gadam, lai precizētu rādītāja “atbalstīto kultūras un tūrisma objektu skaits” plānoto sasniedzamo vērtību.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nepieciešamību veikt MK noteikumu grozījumus pēc Eiropas Komisijas lēmuma par vidusposma pārskatu, ierosinām papildināt MK noteikumu projektu vai anotāciju ar informāciju, ja tāda ir pieejama, kā plānots sadalīt elastības finansējumu kultūras infrastruktūras objektu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 punktā noteikto, ka pēc Eiropas Komisijas lēmuma par vidusposma pārskatu var ierosināt no 2026. gada 1. janvāra palielināt pasākumam pieejamo kopējo finansējumu līdz Noteikumu projekta 11. punktā minētajam plānotajam kopējam finansējuma apmēram, pēc vidusposma pārskata Kultūras ministrija izvērtēs situāciju un pēc nepieciešamības noteiks elastības finansējuma sadali.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un sadarbības partneris var saņemt ieguldījumu atbalstu no publiskā finansējuma,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projekts tika precizēts attiecībā uz "komercdarbības atbalsta" jēdziena lietojumu, tomēr atsevišķos punktos ir saglabājies nekorekts jēdziena lietojums "valsts atbalsts komercdarbībai". Lūdzam visā noteikumu projektā lietot vienādi korektu jēdzienu "komercdarbības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un sadarbības partneris var saņemt publisko finansējumu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pamatojoties uz finansējuma saņēmēja rakstisku avansa pieprasījumu un izvērtējot plānotā avansa apmēru, tā pamatojumu un spēju to izlietot sešu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Eiropas Reģionālās attīstības fonda finansējuma un nacionālā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19.punktu ar maksimālo avansa apmēru, un, ņemot vērā, ka finansējuma saņēmējs ir paredzēts arī pašvaldība, papildināt nosacījumu par spēju avansu izlietot sešu mēnešu laikā saimnieciskā gada ietvaros, attiecīgi papildinot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piemēram, valsts akciju sabiedrība “Valsts nekustamie īpašumi” projektu plānoto īstenot un pabeigt 2024. gadā, tāpēc  Noteikumu projektā maksimālais avansa apmērs noteikts līdz 50 procentiem. Atbilstoši precizēts Noteikumu 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pasākuma ietvaros ir Cēsu novada pašvaldība un valsts akciju sabiedrība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pēc projekta iesnieguma apstiprināšanas, projekts iesniedzējs kļūst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kurš pēc projekta iesnieguma apstiprināšanas kļūst par finansējuma saņēmēju, pasākuma ietvaros ir Cēsu novada pašvaldība un valsts akciju sabiedrība "Valsts nekustamie īpašumi".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noteikumu projekta 23.punktā vārdus "Finansējuma saņēmējs" ar vārdiem "Projekta iesniedzējs", ņemot vērā, ka no noteikumu projekta 16. un 17.punkta ir secināms, ka sadarbības partnera piesaiste notiek pirms projekta 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normatīvo aktu, nosakot, ka sadarbības līgums tiek slēgts saskaņā ar normatīvajiem aktiem par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Īpašuma vai turējuma tiesības attiecībā uz atbalstītajiem objektiem nemaina un ieguldījums paliek Latvijas Republikas teritorijā vismaz piecus gadus pēc projekta noslēguma maksājuma veikšanas finansējuma saņēmējam. Īpašuma vai turējuma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"projekta" pirms vārda "noslēguma".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zemesgrāmatās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nevar pretendēt uz finansējumu un sadarbības partneris nevar tikt iesaistīts projekta īstenošanā,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lai būtu skaidrs, ka tas attiecas tikai uz situāciju, ja projekta iesniedzējs pretendē uz komercdarbības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Komercdarbības atbalsta gadījumā, projekta iesniedzējs nevar pretendēt uz finansējumu un sadarbības partneris nevar tikt iesaistīts projekta īstenošanā,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un sadarbības partneris nevar pretendēt uz finansējumu,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25.punkta ievada redakciju un to precizēt, lai nerastos interpretācijas iespējas. Vēršam uzmanību, ka uz finansējumu pretendē projekta iesniedzējs. Savukārt sadarbības partneris tiek iesaistīt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Komercdarbības atbalsta gadījumā, projekta iesniedzējs nevar pretendēt uz finansējumu un sadarbības partneris nevar tikt iesaistīts projekta īstenošanā,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pašvaldības dome ir pieņēmusi lēmumu par finanšu stabilizācijas pieteikuma iesniegšanu (attiecināms uz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25.2.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atbilstoši likumā “Par pašvaldību finanšu stabilizēšanu un pašvaldību finansiālās darbības uzraudzību” noteiktajam, ir uzsākts finanšu stabilizācijas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pašvaldībā, atbilstoši likumā “Par pašvaldību finanšu stabilizēšanu un pašvaldību finansiālās darbības uzraudzību” noteiktajam, ir uzsākts finanšu stabilizācijas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finanšu ministrs ir iecēlis pašvaldības finanšu stabilizācijas procesa uzraugu attiecīgajā pašvaldībā (attiecināms uz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25.3.punktu, jo tas dublē 25.2.punkā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25.3. 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pieeja kultūras objektiem un publiskai ārtelpai, veicinot līdztiesīgumu kultūras norišu pieejamībā neatkarīgi no dzīvesvietas, īpašām vajadzībām un sociālā 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šajā un 31.3.1. un 35.4.5. apakšpunktā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w:t>
            </w:r>
            <w:r w:rsidR="00000000" w:rsidRPr="00000000" w:rsidDel="00000000">
              <w:rPr>
                <w:u w:val="single"/>
                <w:rtl w:val="0"/>
              </w:rPr>
              <w:t xml:space="preserve">piekļuve</w:t>
            </w:r>
            <w:r w:rsidR="00000000" w:rsidRPr="00000000" w:rsidDel="00000000">
              <w:rPr>
                <w:rtl w:val="0"/>
              </w:rPr>
              <w:t xml:space="preserve"> kultūras objektiem un publiskai ārtelpai, veicinot </w:t>
            </w:r>
            <w:r w:rsidR="00000000" w:rsidRPr="00000000" w:rsidDel="00000000">
              <w:rPr>
                <w:u w:val="single"/>
                <w:rtl w:val="0"/>
              </w:rPr>
              <w:t xml:space="preserve">līdztiesību</w:t>
            </w:r>
            <w:r w:rsidR="00000000" w:rsidRPr="00000000" w:rsidDel="00000000">
              <w:rPr>
                <w:rtl w:val="0"/>
              </w:rPr>
              <w:t xml:space="preserve"> kultūras norišu </w:t>
            </w:r>
            <w:r w:rsidR="00000000" w:rsidRPr="00000000" w:rsidDel="00000000">
              <w:rPr>
                <w:u w:val="single"/>
                <w:rtl w:val="0"/>
              </w:rPr>
              <w:t xml:space="preserve">piekļūstamību</w:t>
            </w:r>
            <w:r w:rsidR="00000000" w:rsidRPr="00000000" w:rsidDel="00000000">
              <w:rPr>
                <w:rtl w:val="0"/>
              </w:rPr>
              <w:t xml:space="preserve"> neatkarīgi no </w:t>
            </w:r>
            <w:r w:rsidR="00000000" w:rsidRPr="00000000" w:rsidDel="00000000">
              <w:rPr>
                <w:u w:val="single"/>
                <w:rtl w:val="0"/>
              </w:rPr>
              <w:t xml:space="preserve">personas</w:t>
            </w:r>
            <w:r w:rsidR="00000000" w:rsidRPr="00000000" w:rsidDel="00000000">
              <w:rPr>
                <w:rtl w:val="0"/>
              </w:rPr>
              <w:t xml:space="preserve"> dzīvesvietas, īpašām vajadzībām un </w:t>
            </w:r>
            <w:r w:rsidR="00000000" w:rsidRPr="00000000" w:rsidDel="00000000">
              <w:rPr>
                <w:u w:val="single"/>
                <w:rtl w:val="0"/>
              </w:rPr>
              <w:t xml:space="preserve">sociālās </w:t>
            </w:r>
            <w:r w:rsidR="00000000" w:rsidRPr="00000000" w:rsidDel="00000000">
              <w:rPr>
                <w:rtl w:val="0"/>
              </w:rPr>
              <w:t xml:space="preserve">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piekļuve kultūras objektiem un publiskai ārtelpai, veicinot līdztiesību un kultūras norišu piekļūstamību neatkarīgi no personas dzīvesvietas, īpašām vajadzībām un sociālās atstumtības riska.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 -2027. gada plānošanas periodā, kā arī Eiropas Savienības fondu 2021. -2027.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aicinām precizēt 30.3.apakšpunktu, 32.5.,  35.10.apakšpunktu.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32.5.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komunikācijas un vizuālās identitātes prasību nodrošināšanas pasākumi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35.10.apakšpunkts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 iesniegumam sniegtais atbalsts ir uzskatāms par komercdarbības atbalstu, publicitātes izmaksas var būt attiecināmas projekta ietvaros, taču publiskā finansējuma piešķiršana tam nekvalificējas kā komercdarbība atbalsts un tās nevar segt ar Komisijas regulas Nr. 651/2014 53.pantu;”.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 -2027. gada plānošanas periodā, kā arī Eiropas Savienības fondu 2021. -2027.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uzkrāj datus par projekta ietekmi uz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minēto rezultāta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finansējuma saņēmējs uzkrāj datus par projektā sasniegtajām šo noteikumu 10.2.1. apakšpunktā minētā iznākuma rādītāja sasniegtajām vērtībām. Lūdzam atbilstoši precizēt arī noteikumu projekta 31.2.apakšpunkta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31.1. un 31.2. apakšpunkts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uzkrāj datus par projektā sasniegtajām šo noteikumu 10.2.1. apakšpunktā minēto iznākuma rādītāju vērtībām;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uzkrāj datus par projektā sasniegtajām šo noteikumu 10.2.2. apakšpunktā minētā rezultāta rādītāja vērtībām;".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uzkrāj datus par projektā sasniegtajām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minētā rezultāta rādītāja 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par nosacījumiem saistībā ar horizontālo principu ievērošanu, aicinām izvērtēt iespēju izteikt 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objektu skaits, kuros Eiropas Reģionālās attīstības fonda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vides piekļūstamības un izmantojamības nodrošināšanu, lūdzam papildināt noteikumu projekta 31.5. punktu ar nosacījumu veikt sociāli atbildīgu publisko iepirkumu, kur tas ir attiecināms un atbilstošs ieguldījumu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konkurenci nodrošinošu konkursa procedūru </w:t>
            </w:r>
            <w:r w:rsidR="00000000" w:rsidRPr="00000000" w:rsidDel="00000000">
              <w:rPr>
                <w:u w:val="single"/>
                <w:rtl w:val="0"/>
              </w:rPr>
              <w:t xml:space="preserve">un, kur tas ir attiecināms, īsteno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īstenošanai nepieciešamo preču un pakalpojumu iegādi veic saskaņā ar publisko iepirkumu reglamentējošajiem normatīvajiem aktiem, īstenojot atklātu, pārredzamu, nediskriminējošu un konkurenci nodrošinošu konkursa procedūru un, kur tas ir attiecināms, īsteno sociāli atbildīgus un inovatīvus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tikai tām izmaksām, kas radušās uz darba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nepieciešams atsevišķi noteikt 34.1. un 34.2. apakšpunktā minētos nosacījumus. Rosinām šādu informāciju, ja nepieciešams, norādīt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34.1. un 34.2. 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kas sekmē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uzturam Finanšu ministrijas 2023.gada 19.jūnija atzinumā izteikto iebildumu (izziņas 9.punkts) par nepieciešamību papildināt anotācijas V. sadaļas 1. tabulu ar normas atbilstības izvērtējumu pret Komisijas regulas Nr. 651/2014 53. panta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tabula “Tiesību akta projekta atbilstība ES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kas sekmē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35.1.apakšpunkta minētajām uzņēmuma (pakalpojuma) līguma izmaksām netiek aprēķināta noteikumu projekta 34.punktā minētā netiešo izmaksu vienotā likme. Līdz ar to lūdzam izvērtēt un attiecīgi precizēt noteikumu projekta 35.1apakšpunkta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plāno kā vienu izmaksu pozīciju, piemērojot netiešo izmaksu vienoto likmi 15 procentu apmērā no šo noteikumu 35.1. apakšpunktā minētajām izmaksām, izņemot pakalpojuma līguma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vadības personāla izmaksām paredzēt vienkāršoto izmaksu risinājumus, piemēram, aicinām kā paraugu izvērtēt Vides aizsardzības un reģionālās attīstības ministrijas izmantoto pieeju (piemēram, 5.1.1.3.pasākumā "Publiskās ārtelpas attīstība" un 5.1.1.4.pasākumā "Viedās pašvaldības"), kur noteikts pamatpersonāls, kas būs nepieciešams projektam un secīgi ar aprēķiniem, parādot dažādas projektu kopējās izmaksas, tiek pierādīts, ka noteiktais vienotās likmes % neradīs pārkompensācijas risku, savukārt nepieciešamības gadījumā papildu personālu finansējuma saņēmējs jau finansē no saviem līdzekļiem. Skaidrojam, ka vienotās personāla likmes piemērošana rada būtisku administratīvā sloga samazinājumu, tāpēc aicinām meklēt iespējas to piemērot, nevis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tiks organizēta starpinstitūciju sanāksme, lai risinātu vienkāršoto izmaksu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 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35.2.1. apakšpunktā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 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35.4.3. inženierinfrastruktūras pārbūve vai funkcionāls savienojums, tai skaitā lietusūdens kanalizācijas infrastruktūras izbūve vai pārbūve (piegulošo inženiertīklu pārbūves izmaksas attiecināmas tikai tad,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35.4.3.apakšpunkta redakciju, vai tas gadījumā nedublē 35.4.4.apakšpunktu, t.sk. izskatīt iespēju dzēst. Vai arī skaidrot anotācijā par atšķirībām  MK noteikumu 35.4.3. un 35.4.4.apakšpunktos norādītajām izmaksām, ņemot vērā, ka "inženierinfrsatruktūra" , "funkcionāls savienojums" var būt arī iela, satiksmes pārvadi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35.4.3. 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informācijas un publicitātes pasākumu izmaksas atbilstoši normatīvajiem aktiem par kārtību, kādā Eiropas Savienības fondu ieviešanā 2021.-2027. gada plānošanas periodā nodrošināma komunikācijas un vizuālās identitātes prasību ievērošana. Ja projekta iesniegumam sniegtais atbalsts ir uzskatāms par komercdarbības atbalstu, publicitātes izmaksas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publicitātes izmaksām atbilstoši Eiropas Komisijas 2023.gada 18.aprīļa skaidrojumam eWIKI platformā uz Horvātijas jautājumu (pieejams šeit: https://webgate.ec.europa.eu/fpfis/wikis/display/StateAid/Art+56.a+-+eligible+costs+-+interpretation), tās var būt attiecināmas pasākuma ietvaros, taču publiskā finansējuma piešķiršana tām nekvalificējas kā komercdarbības atbalsts. Attiecīgi, ja tomēr noteikumu projekta ietvaros ir plānots attiecināt publicitātes izmaksas, aicinām veikt attiecīgos precizējumus, tomēr vienlaikus nenosakot šīs izmaksas kā attiecināms ar Komisijas regulas Nr. 651/2014 53.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 iesniegumam sniegtais atbalsts ir uzskatāms par komercdarbības atbalstu, publicitātes izmaksas var būt attiecināmas projekta ietvaros, taču publiskā finansējuma piešķiršana tam nekvalificējas kā komercdarbības atbalsts un tās nevar segt ar Komisijas regulas Nr. 651/2014 53.pantu;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informācijas un publicitātes pasākumu izmaksas atbilstoši normatīvajiem aktiem par kārtību, kādā Eiropas Savienības fondu ieviešanā 2021.-2027. gada plānošanas periodā nodrošināma komunikācijas un vizuālās identitātes prasību ievērošana. Ja projekta iesniegumam sniegtais atbalsts ir uzskatāms par komercdarbības atbalstu, publicitātes izmaksas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35.10.apakšpunktā precizēt atsauci uz normatīvā akta jomu. Vēršam uzmanību, ka daļa publicitātes prasību ir iestrādātas normatīvajā aktā par kārtību, kādā Eiropas Savienības fondu vadībā iesaistītās institūcijas nodrošina šo fondu ieviešanu 2021.–2027.gada plānošanas periodā (Noteikumu projekts 22-TA-2143).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tabula “Tiesību akta projekta atbilstība ES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 iesniegumam sniegtais atbalsts ir uzskatāms par komercdarbības atbalstu, publicitātes izmaksas var būt attiecināmas projekta ietvaros, taču publiskā finansējuma piešķiršana tam nekvalificējas kā komercdarbības atbalsts un tās nevar segt ar Komisijas regulas Nr. 651/2014 53.pantu;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ja pašu ieņēmumi atbalstītajā objektā ir lielāki par 50 procentiem no kultūras jomas pakalpojumu sniedzēja gada budžeta, tad projektam ir saimniecisks raksturs, tomēr tas nav kvalificējams kā atbalsts komercdarbībai, jo projektam nav ietekmes uz konkurenci un tirdzniecību Eiropas Savienības iekšējā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skaidrību, lūdzu pārcelt uz noteikumu tekstu no anotācijas kritērijus, kas vērtējami, lai pārliecinātos par to, ka projektam, kuram ir saimniecisks raksturs, nav ietekmes uz konkurenci un tirdzniecību Eiropas Savienības iekšējā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piedāvātās punkta redakcijas var nolasīt, ka projekts nekvalificēsies kā komercdarbības atbalsts nevienā no 42.1. un 42.2.apakšpunktā minētajiem gadījumiem. Lai tiesību norma būtu precīza, lūdzu tehniski precizēt, aizstājot vārdus "nav kvalificējams kā atbalsts komercdarbībai, jo projektam nav ietekmes uz" ar vārdiem "nav kvalificējams kā atbalsts komercdarbībai, ja projektam nav ietekmes uz".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projekta uzraudzību visā projekta pārskata periodā (projekta dzīves cikla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Ievērojot minēto, lūdzam visā noteikumu projektā svītrot iekavas un vārdus “projekta dzīves cikla laikā” un “projekta dzīves cikla”.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uzraudzību visā projekta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“projekta dzīves cikla laikā” un “projekta dzīves cikla”.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projekta uzraudzību visā projekta pārskata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komunikācijas un vizuālās identitātes prasību nodrošināšanas nosacījumu, interešu konflikta neesamības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nosaka, ka finansējuma saņēmējs nodrošina projekta īstenošanas komunikācijas un vizuālās identitātes prasības saskaņā ar Regulas Nr. 2021/1060 47. un 50. pantu un normatīvajiem aktiem par kārtību, kādā Eiropas Savienības fondu vadībā iesaistītās institūcijas nodrošina šo fondu ieviešanu 2021. -2027. gada plānošanas periodā, kā arī Eiropas Savienības fondu 2021. -2027.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iznākuma rādītāja “Atbalstīto kultūras un tūrisma objektu skaits” sasniedzamā vērtība ir mazāka, nekā sākotnēji šajā pasākumā tika paredzēts, kā arī KM izziņā sniegto skaidrojumu, ka pieejas maiņas dēļ kopumā KM pārziņā esošajos pasākumos programmas rādītājs tiks sasniegts ievērojami mazākā apjomā, un plānots rosināt attiecīgus programmas grozījumus, lūdzam ar šo informāciju papildināt arī anotāciju pie plānoto rādītāju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KM ir saistoša un jānodrošina programmā noteiktā rādītāja sasniegšana kopsummā visos pasākumos. Attiecīgi, šobrīd neiebilstam noteikumu projekta tālākai virzībai, taču lūdzam KM jau savlaicīgi izstrādāt attiecīgus programmas grozījumus un pamatojumu. Pirms 5.1.1.6.pasākuma “Kultūras mantojuma saglabāšana un jaunu pakalpojumu attīstība” ieviešanas nosacījumu izstrādes un virzības apstiprināšanai būtu jāsaņem vismaz neformāls Eiropas Komisijas saskaņojums plānotajām iznākuma rādītāju izmaiņām, un minētā pasākuma ieviešanas nosacījumi varēs tikt apstiprināti tikai pēc attiecīgu programmas grozījumu veikšanas, vai virzot valdībā lēmumu par izņēmumu / uzņemoties risku pirms Eiropas Komisijas lēmuma par programmas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sākotnēji 5.1.1. specifiskā atbalsta mērķa ietvaros tika plānots īstenot atsevišķus liela apjoma objektus un lielu skaitu maza apjoma objektus Eiropas Savienības kohēzijas politikas programmā 2021.–2027.gadam tika noteikta rādītāja “Atbalstīto kultūras un tūrisma objektu skaits” sasniedzamā vērtība - 26 objekti, tomēr šobrīd nepieciešams pārskatīt pašvaldību ieceres attiecībā uz kultūras objektu attīstības vajadzībām un attiecīgi Kultūras ministrija plāno samazināt rādītāja “Atbalstīto kultūras un tūrisma objektu skaits” sasniedzamo vērtību un  veikt atbilstošus Eiropas Savienības kohēzijas politikas programmas 2021.–2027.gadam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skaidrot MK noteikumu 10.1.apakšpunktā norādīto rādītāju: līdz 2024. gada 31. decembrim iznākuma rādītājs: n</w:t>
            </w:r>
            <w:r w:rsidR="00000000" w:rsidRPr="00000000" w:rsidDel="00000000">
              <w:rPr>
                <w:i w:val="1"/>
                <w:rtl w:val="0"/>
              </w:rPr>
              <w:t xml:space="preserve">oslēgto līgumu īpatsvars par ieguldījumiem kultūras un tūrisma objektos – 10 procenti. </w:t>
            </w:r>
            <w:r w:rsidR="00000000" w:rsidRPr="00000000" w:rsidDel="00000000">
              <w:rPr>
                <w:rtl w:val="0"/>
              </w:rPr>
              <w:t xml:space="preserve">No šī apakšpunkta redakcijas, kā arī no   SAM rādītāju metodoloģijas apraksta (rādītāju pases) par rādītāju Nr.i.5.1.1.a</w:t>
            </w:r>
            <w:r w:rsidR="00000000" w:rsidRPr="00000000" w:rsidDel="00000000">
              <w:rPr>
                <w:i w:val="1"/>
                <w:rtl w:val="0"/>
              </w:rPr>
              <w:t xml:space="preserve"> :Vienlaikus paredzam, ka uz 31.12.2024. būs noslēgti līgumi par projektu īstenošanu vismaz par 10% no pasākumiem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kāda veida līgumi (piemēram, projektēšanas, ekspertīzes, būvdarbu, u.tml.) var būt noslēgti un vai paredzēti konkrētā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10.1. apakšpunktā noteiktais rādītājs ir Eiropas Komisijas ieteiktais rādītājs, kas atspoguļo iznākuma rādītāja RCO 77 “Atbalstīto kultūras un tūrisma objektu  skaits” ieviešanas progresu līdz 2024.gada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ar noslēgtajiem līgumiem ir saprotami līgumi vai vienošanās par projekta īstenošanu, kurus Centrālā finanšu un līgumu aģentūra slēdz ar projekta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specifiskā atbalsta mērķa ietvaros ir noteikts iznākuma rādītājs līdz 2024. gada 31. decembrim: noslēgto līgumu īpatsvars par ieguldījumiem kultūras un tūrisma objektos – 10 procenti. Ar noslēgtajiem līgumiem šī rādītāja kontekstā ir jāsaprot līgumi vai vienošanās par projekta īstenošanu ar sadarbības iestādi, kas noslēgti līdz 2024. gada 31. decembrim. Rādītājs tiek uzskaitīts 5.1.1. specifiskā atbalsta mērķa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plānoto 5.1.1.5., 5.1.1.6. un 5.1.1.7. pasākumu projektu īstenošanas laika grafiku, starpposma vērtību paredzēts sasniegt un izpildīt 5.1.1.7. 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atbildīga publiskā iepirkuma un inovatīva publiskā iepirkuma nosacījumu piemērošanu vai norādīt anotācijā, kāpēc tie netiks piemēroti.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31.6.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īstenošanai nepieciešamo preču un pakalpojumu iegādi veic saskaņā ar publisko iepirkumu reglamentējošajiem normatīvajiem aktiem, īstenojot atklātu, pārredzamu, nediskriminējošu un konkurenci nodrošinošu konkursa procedūru un, kur tas ir attiecināms,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skaidrāku fokusu  uz pasākumā plānoto investīciju pienesumu tautsaimniecībai, norādot pēc iespējas izmērāmus rādītājus, kā arī novērtējot konkrētus aspektus par plānoto ieguldījumu sagaidāmo ietekmi un efektivitāti, t.sk. faktiski sagaidāmos rezultātus pēc investīciju īstenošanas ņemot vērā Finanšu ministrijas 2023.gada vēstulē Nr. 5.1-24/21/ 1076 “Par Eiropas Savienības fondu un Atveseļošanas fonda investīciju pienesumu tautsaimniecībai” ietverto aicinājumu. 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sniegts ieguldījums NAP2027 prioritātes “Kultūra un sports aktīvai un pilnvērtīgai dzīvei” šādu rīcības virzienu progresa rādītāju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virziena “Cilvēku līdzdalība kultūras un sporta aktivitātēs” 364.progresa rādītājs “Mājsaimniecību izdevumi kultūrai un atpūtai no mājsaimniecību kopējiem patēriņa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“Kultūras un sporta devums ilgtspējīgai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377. progresa rādītājs “Kultūras pasākumu apmeklējumu skaits gadā uz 100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378. progresa rādītājs “Ārvalstu vairākdienu ceļotāju Latvijā kopējie izdevumi, milj.”.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h) apakšpunktu ar "nodrošināt fizisku vides piekļūstamību visiem cilvēkiem, tai skaitā cilvēkiem ar dažāda veida funkcionāliem traucējumiem, ievērojot LBN 200-21. "  un labās prakses darbības papildināt ar Valsts kontroles nostādni / situācijas vīziju "būtisks priekšnoteikums vides piekļūstamībai"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fizisku vides piekļūstamību visiem cilvēkiem, tai skaitā cilvēkiem ar dažāda veida funkcionāliem traucējumiem, ievērjot LBN 200-21. Papildus būvnormatīvā LBN 200-21 noteiktajam,  projekta ietvaros tiks īstenotas labās prakses darbības, kas ir būtisks priekšnoteikums vides piekļūstamībai visiem cilvēkiem, tai skaitā cilvēkiem ar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nodrošināt fizisku vides piekļūstamību visiem cilvēkiem ar dažāda veida funkcionāliem traucējumiem, ievērojot būvnormatīvu LBN 200-21. Papildus būvnormatīvā LBN 200-21 noteiktajam, projekta ietvaros tiks īstenotas labās prakses darbības, kas ir būtisks priekšnoteikums vides piekļūstamībai visiem cilvēkiem, tai skaitā cilvēkiem ar funkcionāliem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uzdevumu un termiņu Kultūras ministrijai 5.1.1.7. pasākuma ietvaros vērtēt vienkāršoto izmaksu metodikas izstrādes iespējas projekta personāla atlīdzības izmaksām projektu īstenošanas stadijā (kad būs sasniegts noteikts ieviešanas progress un būs pieejami dati par atlīdzības izmaksām projektā). Finanšu ministrijas ieskatā ir būtiski vērtēt pēc iespējas plašāk piemērot vienkāršoto izmaksu iespējas arī projektu īstenošanas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līdz 2024. gada 30. novembrim izvērtēt vienkāršoto izmaksu metodikas izstrādes iespējas 5.1.1.7. pasākuma “Reģionālās kultūras infrastruktūras attīstība kultūras pakalpojumu pieejamības uzlabošana” projekta personāla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23-TA-1258</w:t>
    </w:r>
    <w:r>
      <w:br/>
    </w:r>
    <w:r w:rsidR="00000000" w:rsidRPr="00000000" w:rsidDel="00000000">
      <w:rPr>
        <w:rtl w:val="0"/>
      </w:rPr>
      <w:t xml:space="preserve">20.09.2023. 10.36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23-TA-1258</w:t>
    </w:r>
    <w:r>
      <w:br/>
    </w:r>
    <w:r w:rsidR="00000000" w:rsidRPr="00000000" w:rsidDel="00000000">
      <w:rPr>
        <w:rtl w:val="0"/>
      </w:rPr>
      <w:t xml:space="preserve">20.09.2023. 10.36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Izziņa_23-TA-1258.docx</dc:title>
</cp:coreProperties>
</file>

<file path=docProps/custom.xml><?xml version="1.0" encoding="utf-8"?>
<Properties xmlns="http://schemas.openxmlformats.org/officeDocument/2006/custom-properties" xmlns:vt="http://schemas.openxmlformats.org/officeDocument/2006/docPropsVTypes"/>
</file>