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26-TA-1510: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Ilgtspējas informācijas atklāšanas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09.09.2026. 22:47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kā arī koncerna mātes sabiedrībām, kuru neto apgrozījums bilances datumā konsolidēti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savu iepriekš iesniegto iebildumu par grozījumiem 3.panta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sociālās ilgtspējas obligātās ziņošanas tvēruma samazināšana viennozīmīgi  rada risku sociālās ilgtspējas informācijas saņemšanai. Brīvprātīga ziņošana nevar aizstāt obligātu ziņošanu, ņemot vērā to, ka brīvprātīgas ziņošanas standarti paredz vājākas prasības. Ja pienākums nav paredzētas tiesību aktos, uzņēmums var arī nepublicēt sociālo informāciju vai publicēt tikai sev labvēlīgo informāciju. Brīvprātīgi sniegtajai informācijai nav obligātas pārbaudes, tādēļ tā var būt mazāk uzticama un grūtāk salīdzināma. Papildus uzņēmuma lielums vien nenosaka tā sociālo ietekmi. Arī mazākiem uzņēmumiem ir būtiska ietekme uz darbinieku tiesībām, darba drošību, vienlīdzību un cilvēktiesībām piegādes ķēdēs. Samazinot obligātās ziņošanas tvērumu, sociālā informācija par daļu uzņēmumu faktiski var kļūt mazāk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ekonomikas struktūru, tik krasa sliekšņa palielināšana, faktiski padara direktīvas mērķu sasniegšanu par neīstenojamu.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direktīva (ES) 2026/470 būtiski pārskata obligātās ilgtspējas ziņošanas tvērumu, paredzot to attiecināt tikai uz lielākajiem uzņēmumiem, kuru neto apgrozījums pārsniedz 450 miljonus euro un vidējais darbinieku skaits pārsniedz 1000. Šādas izmaiņas ir pamatotas ar nepieciešamību samazināt uzņēmumiem radīto administratīvo slogu un nodrošināt samērīgāku ilgtspējas ziņošanas regulējumu. Direktīvā vienlaikus norādīts, ka tieši šiem lielākajiem uzņēmumiem ir visbūtiskākā ietekme uz vides, sociālajiem un pārvaldības jautājumiem un tiem ir lielākas iespējas segt ar ziņošanu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Latvijā būtiski zemāku slieksni – 100 miljonu euro neto apgrozījumu un 500 darbiniekus – nebūtu atbilstošs direktīvas mērķim samazināt obligātās ilgtspējas ziņošanas tvērumu un administratīvo slogu. Šāda pieeja Latvijā saglabātu ievērojami plašāku uzņēmumu loku, kuriem būtu obligāti jāsniedz ilgtspējas informācija, nekā paredzēts ar Direktīvu (ES) 2026/470. Ļoti būtiski ir saglabāt vienlīdzīgus konkurences nosacījumus, neuzliekot Latvijas uzņēmumiem papildu administratīvās izmaksas un birokrātisko slogu, kāda nav konkurējošajiem uzņēmumiem citās ES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pamata secinājumam, ka līdz ar obligātās ziņošanas tvēruma samazināšanu tiktu izslēgta sociālās ilgtspējas informācija. Uzņēmumiem, kuriem saglabāsies obligāts ilgtspējas ziņošanas pienākums, arī turpmāk būs jāsniedz informācija par būtiskajiem ilgtspējas jautājumiem, tostarp sociālajiem aspektiem. Savukārt uzņēmumiem, kuri vairs neietilps obligātās ziņošanas tvērumā, Direktīva (ES) 2026/470 paredz iespēju ilgtspējas informāciju sniegt brīvprātīgi, izmantojot tam paredzētos brīvprātīgās ziņošanas standartus, kuri ir būtiski pilnveidoti un vienkāršoti.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kā arī koncerna mātes sabiedrībām, kuru neto apgrozījums bilances datumā konsolidēti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20.08.2026. 15:50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pievērš uzmanību, ka 3.pantā paredzētā ziņošanas sliekšņu samazināšana  praktiski izslēdz sociālās ilgtspējas ziņošanu Latvijā un lūdz precizēt tiesību normu, nosakot mazāku slieksni uzņēmumu ziņošanas pienākuma izpildei, proti, paredzot ziņošanas pienākumu komercsabiedrībām, kuru neto apgrozījums bilances datumā pārsniedz 100 000 000 euro un kuru vidējais darbinieku skaits pārskata gadā pārsniedz 500, kā arī koncerna mātes sabiedrībām, kuru neto apgrozījums bilances datumā konsolidēti pārsniedz 100 000 000 euro un kuru vidējais darbinieku skaits pārskata gadā pārsniedz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piedāvātais regulējums būtiski sašaurina to uzņēmumu loku, kuriem turpmāk būs pienākums sagatavot ilgtspējas ziņojumu. Šāds nesamērīgi augsts slieksnis, proti, neto apgrozījums virs 450 miljoniem euro un vairāk nekā 1000 darbinieku, Latvijas uzņēmumu struktūrā praktiski aptver tikai ļoti nelielu uzņēmumu daļu un būtiski sašaurina ilgtspējas ziņošanas tvērumu. Tas faktiski izslēdz lielāko daļu darba devēju no sociālās ilgtspējas caurskatāmības un būtiski samazina informācijas pieejamību par darba tiesību ievērošanu, darba apstākļiem un piegādes ķēžu sociālajiem riskiem. Piedāvātais slieksnis līdz ar to nav atbilstošs Latvijas ekonomikas struktūrai un neatbilst sociālās ilgtspējas mērķiem. Līdz ar to tas padara direktīvas mērķu sasnigšanu par neiespējamu.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apzinās, ka sliekšņu samazināšanu paredz direktīvas (ES) 2026/470 prasības, kā arī ņem vērā nepieciešamību vienkāršot tiesību aktus, kurus paredz OMNIBUS pakotne. Vienlaikus uzsveram, ka  vienkāršošana nevar padarīt tiesisko regulējumu par nepiemērojamu, kas faktiski padarītu direktīvas mērķa sasniegšanu par neiespējamu konkrētajā valstī,  ņemot vērā tās ekonomisko situāciju un ekonomikas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arodbiedrību praktiskajā pieredzē ir redzams, ka uzņēmumu, kuri nodarbina vismaz 500 darbiniekus, rīcībā ir pietiekami resursi, lai izpildītu ziņošanas pienākumu un sagatavotu nepieciešamo dokumentāciju un organizētu attiecīgus procesus. Savukārt neatbilstoši augsts slieksnis atstāj arodbiedrību rīcībā Latvijā ļoti maz instrumentu, ar kuriem objektīvi vērtēt uzņēmumu sociālo ietekmi un argumentēti piedalīties sociālā dialoga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pievēršam uzmanību, ka ES  valstij, ieviešot ES tiesību instrumentus, ir tiesība noteikt labvēlīgākas tiesību normas un stingrākas prasības, pielāgojot ieviešanas instrumentus valsts situācijai. Virkne ES valstu, pārņemot (ES) 2026/470 prasības jau ir izvēlējušas noteikt elastīgāku vai stingrāku regulējumu. Piemēram, pārņemot direktīvas (ES) 2022/2464 normas, Dānija un Somija izvēlējas aptvert plašāku uzņēmumu loku, nekā paredz direktīva. Savukārt Rumānija noteica zemāku slikesni (skat. Littenberg M., Rotter M., Jackmauh S., CSRD Update – Omnibus I Transposition Hits the Summer Slowdown; https://www.ropesgray.com/en/insights/viewpoints/2026/08/102nyt5/csrd-update-omnibus-i-transposition-hits-the-summer-slowdown). Tāpat arī, pārņemot direktīvas 2014/95/ES normas (attiecībā uz noteiktu lielu uzņēmumu un grupu nefinanšu un daudzveidības informācijas atklāšanu) Dānija, Zviedrija un Luksemburga, izvēlējās noteikt mazāku slieksni, nekā to paredz direktīva (skat. Hummel K., An Overview of Corporate Sustainability Reporting Legislation in the European Union; https://www.tandfonline.com/doi/full/10.1080/17449480.2024.2312145#d1e333)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direktīvā (ES) 2026/470 un attiecīgi likumprojektā paredzētais slieksnis nav atbilstošs Latvijas ekonomikas struktūrai, padara direktīvas (ES) 2022/2464  mērķu sasniegšanu par neiespējamu Latvijā, kā arī faktu, ka Latvijai ir iespējas un tiesības noteikt stingrākas prasības, lūdzam precizēt tiesību normu un noteikt zemāku slieksni ziņošanas pienākumam komercsabiedrībām, proti,  neto apgrozījumu bilances datumā pārsniedz vismaz 100 000 000 euro un vidējo darbinieku skaitu pārskata gadā  vismaz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3.panta pirmajā daļā un attiecīgi citos likumprojekta pantos, paredzot ziņošanas pienākumu komercsabiedrībām, kuru neto apgrozījums bilances datumā pārsniedz 100 000 000 euro un kuru vidējais darbinieku skaits pārskata gadā pārsniedz 500, kā arī koncerna mātes sabiedrībām, kuru neto apgrozījums bilances datumā konsolidēti pārsniedz 100 000 000 euro un kuru vidējais darbinieku skaits pārskata gadā pārsniedz 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(ES) 2026/470 būtiski pārskata obligātās ilgtspējas ziņošanas tvērumu, paredzot to attiecināt tikai uz lielākajiem uzņēmumiem, kuru neto apgrozījums pārsniedz 450 miljonus euro un vidējais darbinieku skaits pārsniedz 1000. Šādas izmaiņas ir pamatotas ar nepieciešamību samazināt uzņēmumiem radīto administratīvo slogu un nodrošināt samērīgāku ilgtspējas ziņošanas regulējumu. Direktīvā vienlaikus norādīts, ka tieši šiem lielākajiem uzņēmumiem ir visbūtiskākā ietekme uz vides, sociālajiem un pārvaldības jautājumiem un tiem ir lielākas iespējas segt ar ziņošanu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Latvijā būtiski zemāku slieksni – 100 miljonu euro neto apgrozījumu un 500 darbiniekus – nebūtu atbilstošs direktīvas mērķim samazināt obligātās ilgtspējas ziņošanas tvērumu un administratīvo slogu. Šāda pieeja Latvijā saglabātu ievērojami plašāku uzņēmumu loku, kuriem būtu obligāti jāsniedz ilgtspējas informācija, nekā paredzēts ar Direktīvu (ES) 2026/470. Ļoti būtiski ir saglabāt vienlīdzīgus konkurences nosacījumus, neuzliekot Latvijas uzņēmumiem papildu administratīvās izmaksas un birokrātisko slogu, kāda nav konkurējošajiem uzņēmumiem citās ES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pamata secinājumam, ka līdz ar obligātās ziņošanas tvēruma samazināšanu tiktu izslēgta sociālās ilgtspējas informācija. Uzņēmumiem, kuriem saglabāsies obligāts ilgtspējas ziņošanas pienākums, arī turpmāk būs jāsniedz informācija par būtiskajiem ilgtspējas jautājumiem, tostarp sociālajiem aspektiem. Savukārt uzņēmumiem, kuri vairs neietilps obligātās ziņošanas tvērumā, Direktīva (ES) 2026/470 paredz iespēju ilgtspējas informāciju sniegt brīvprātīgi, izmantojot tam paredzētos brīvprātīgās ziņošanas standartus, kuri ir būtiski pilnveidoti un vienkāršoti.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likumu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pants. Ilgtspējas informācijas pieprasīšanas ierobežojumi vērtību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kurai saskaņā ar šā likuma 4.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pamats uzskatīt, ka pašdeklarācijā ietvertā informācija ir acīmredzami nepareiza.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Eiropas Komisijas pieņemtajos ilgtspējas ziņu sniegšanas standartos, kuru izmantošana ir brīvprātīga (turpmāk — brīvprātīgie standarti) noteikto informāciju, ja informācija tiek pieprasīta ilgtspējas ziņu sniegšanas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ir spēkā tiktāl, ciktāl tas paredz pienākumu sniegt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tās tiesībām atteikties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ziņojošā sabiedrība uzskatāma par izpildījušu šajā likumā noteiktās prasības attiecībā uz informācijas sniegšanu par vērtību ķēdi, ja tā nav saņēmusi no aizsargātās sabiedrības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pieprasījumiem, kas nepieciešami pienācīgas rūpības pienākumu izpildei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likumprojekta 4.</w:t>
            </w:r>
            <w:r w:rsidR="00000000" w:rsidRPr="00000000" w:rsidDel="00000000">
              <w:rPr>
                <w:vertAlign w:val="superscript"/>
                <w:rtl w:val="0"/>
              </w:rPr>
              <w:t xml:space="preserve">1</w:t>
            </w:r>
            <w:r w:rsidR="00000000" w:rsidRPr="00000000" w:rsidDel="00000000">
              <w:rPr>
                <w:rtl w:val="0"/>
              </w:rPr>
              <w:t xml:space="preserve"> panta trešās daļas 2. punktu, kas nosaka, ka līguma noteikums, kas ir pretrunā šīs daļas 1. punktam, ir spēkā tiktāl, ciktāl tas paredz pienākumu sniegt šādu informāciju. Atbilstoši Direktīvas (ES) 2026/470 2. panta 4. punktā ietvertajam Direktīvas 2013/34/ES 19.a panta 3. punkta grozījumam ir noteikts, ka neviens līguma noteikums, kas ir pretrunā aizliegumam pieprasīt aizsargātajiem uzņēmumiem sniegt informāciju, kas pārsniedz brīvprātīgajos standartos norādīto informāciju, nav saistošs, vienlaikus neietekmējot pārējo līguma noteikumu saistošo raksturu. Līdz ar to likumprojekta 4.</w:t>
            </w:r>
            <w:r w:rsidR="00000000" w:rsidRPr="00000000" w:rsidDel="00000000">
              <w:rPr>
                <w:vertAlign w:val="superscript"/>
                <w:rtl w:val="0"/>
              </w:rPr>
              <w:t xml:space="preserve">1</w:t>
            </w:r>
            <w:r w:rsidR="00000000" w:rsidRPr="00000000" w:rsidDel="00000000">
              <w:rPr>
                <w:rtl w:val="0"/>
              </w:rPr>
              <w:t xml:space="preserve"> panta trešās daļas 2. punktā paredzētās tiesiskās sekas nenodrošina Direktīvā (ES) 2026/470 paredzēto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w:t>
            </w:r>
            <w:r w:rsidR="00000000" w:rsidRPr="00000000" w:rsidDel="00000000">
              <w:rPr>
                <w:b w:val="1"/>
                <w:rtl w:val="0"/>
              </w:rPr>
              <w:t xml:space="preserve"> nav</w:t>
            </w:r>
            <w:r w:rsidR="00000000" w:rsidRPr="00000000" w:rsidDel="00000000">
              <w:rPr>
                <w:rtl w:val="0"/>
              </w:rPr>
              <w:t xml:space="preserve"> spēkā tiktāl, ciktāl tas paredz pienākumu sniegt šādu informāciju, </w:t>
            </w:r>
            <w:r w:rsidR="00000000" w:rsidRPr="00000000" w:rsidDel="00000000">
              <w:rPr>
                <w:b w:val="1"/>
                <w:rtl w:val="0"/>
              </w:rPr>
              <w:t xml:space="preserve">neietekmējot pārējo līguma noteikumu spēkā esību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pants. Ilgtspējas informācijas pieprasīšanas ierobežojumi vērtību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kurai saskaņā ar šā likuma 4.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iemesls uzskatīt, ka pašdeklarācijā ietvertā informācija ir acīmredzami nepareiza.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Eiropas Komisijas pieņemtajos ilgtspējas ziņu sniegšanas standartos, kuru izmantošana ir brīvprātīga (turpmāk — brīvprātīgie standarti) noteikto informāciju, ja informācija tiek pieprasīta ilgtspējas ziņu sniegšanas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nav spēkā tiktāl, ciktāl tas paredz pienākumu sniegt šādu informāciju, neietekmējot pārējo līguma noteikumu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tās tiesībām atteikties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ziņojošā sabiedrība uzskatāma par izpildījušu šajā likumā noteiktās prasības attiecībā uz informācijas sniegšanu par vērtību ķēdi, ja tā nav saņēmusi no aizsargātās sabiedrības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pieprasījumiem, kas nepieciešami pienācīgas rūpības pienākumu izpildei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pants. Ilgtspējas informācijas pieprasīšanas ierobežojumi vērtību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kurai saskaņā ar šā likuma 7.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pamats uzskatīt, ka pašdeklarācijā ietvertā informācija ir acīmredzami nepareiza.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brīvprātīgajos standartos noteikto informāciju, ja informācija tiek pieprasīta ilgtspējas ziņu sniegšanas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ir spēkā tiktāl, ciktāl tas paredz pienākumu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tās tiesībām atteikties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ziņojošā sabiedrība uzskatāma par izpildījušu šajā likumā noteiktās prasības attiecībā uz informācijas sniegšanu par vērtību ķēdi, ja tā nav saņēmusi no aizsargātās sabiedrības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pieprasījumiem, kas nepieciešami pienācīgas rūpības pienākumu izpildei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likumprojekta 7.</w:t>
            </w:r>
            <w:r w:rsidR="00000000" w:rsidRPr="00000000" w:rsidDel="00000000">
              <w:rPr>
                <w:vertAlign w:val="superscript"/>
                <w:rtl w:val="0"/>
              </w:rPr>
              <w:t xml:space="preserve">1</w:t>
            </w:r>
            <w:r w:rsidR="00000000" w:rsidRPr="00000000" w:rsidDel="00000000">
              <w:rPr>
                <w:rtl w:val="0"/>
              </w:rPr>
              <w:t xml:space="preserve"> panta trešās daļas 2. punktu, kas nosaka, ka līguma noteikums, kas ir pretrunā šīs daļas 1. punktam, ir spēkā tiktāl, ciktāl tas paredz pienākumu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(ES) 2026/470 2. panta 5. punktā ietvertajam Direktīvas 2013/34/ES 29.a panta 3. punkta grozījumam ir noteikts, ka neviens līguma noteikums, kas ir pretrunā aizliegumam pieprasīt aizsargātajiem uzņēmumiem sniegt informāciju, kas pārsniedz brīvprātīgajos standartos norādīto informāciju, nav saistošs, vienlaikus neietekmējot pārējo līguma noteikumu saistošo raksturu. Līdz ar to likumprojekta 7.</w:t>
            </w:r>
            <w:r w:rsidR="00000000" w:rsidRPr="00000000" w:rsidDel="00000000">
              <w:rPr>
                <w:vertAlign w:val="superscript"/>
                <w:rtl w:val="0"/>
              </w:rPr>
              <w:t xml:space="preserve">1</w:t>
            </w:r>
            <w:r w:rsidR="00000000" w:rsidRPr="00000000" w:rsidDel="00000000">
              <w:rPr>
                <w:rtl w:val="0"/>
              </w:rPr>
              <w:t xml:space="preserve"> panta trešās daļas 2. punktā paredzētās tiesiskās sekas nenodrošina Direktīvā (ES) 2026/470 paredzēto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w:t>
            </w:r>
            <w:r w:rsidR="00000000" w:rsidRPr="00000000" w:rsidDel="00000000">
              <w:rPr>
                <w:b w:val="1"/>
                <w:rtl w:val="0"/>
              </w:rPr>
              <w:t xml:space="preserve">nav </w:t>
            </w:r>
            <w:r w:rsidR="00000000" w:rsidRPr="00000000" w:rsidDel="00000000">
              <w:rPr>
                <w:rtl w:val="0"/>
              </w:rPr>
              <w:t xml:space="preserve">spēkā tiktāl, ciktāl tas paredz pienākumu sniegt šādu informāciju, </w:t>
            </w:r>
            <w:r w:rsidR="00000000" w:rsidRPr="00000000" w:rsidDel="00000000">
              <w:rPr>
                <w:b w:val="1"/>
                <w:rtl w:val="0"/>
              </w:rPr>
              <w:t xml:space="preserve">neietekmējot pārējo līguma noteikumu spēkā esību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pants. Ilgtspējas informācijas pieprasīšanas ierobežojumi vērtību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kurai saskaņā ar šā likuma 7.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iemesls uzskatīt, ka pašdeklarācijā ietvertā informācija ir acīmredzami nepareiza.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brīvprātīgajos standartos noteikto informāciju, ja informācija tiek pieprasīta ilgtspējas ziņu sniegšanas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nav spēkā tiktāl, ciktāl tas paredz pienākumu sniegt šādu informāciju, neietekmējot pārējo līguma noteikumu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tās tiesībām atteikties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ziņojošā sabiedrība uzskatāma par izpildījušu šajā likumā noteiktās prasības attiecībā uz informācijas sniegšanu par vērtību ķēdi, ja tā nav saņēmusi no aizsargātās sabiedrības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pieprasījumiem, kas nepieciešami pienācīgas rūpības pienākumu izpildei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izteikt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Lielai sabiedrībai, kura ir sabiedriskas nozīmes struktūra un kuras darbinieku skaits ir lielāks par 500, ir pienākums sagatavot šā likuma 4. pantā minēto ilgtspējas ziņojumu par 2024., 2025. un 2026. pārskata gadu (pārskata gadu, kurš sākas attiecīgi 2024. gada 1. janvārī vai 2024. kalendāra gada laikā, 2025. gada 1. janvārī vai 2025. kalendāra gada laikā un 2026. gada 1. janvārī vai 2026. kalendāra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ESG Omnibus direktīva ((ES) 2026/470) būtiski sašaurina uzņēmumu loku, kuriem būs pienākums sagatavot ilgtspējas ziņojumu. Turpmāk šī prasība attieksies tikai uz uzņēmumiem ar neto apgrozījumu virs 450 milj. euro un vairāk nekā 1000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ilgtspējas ziņošanas pienākums bija noteikts jau no 2024. finanšu gada, bet kuri neatbildīs jaunajiem kritērijiem, no 2027. gada tiks atbrīvoti no šī pienākuma. Direktīva vienlaikus ļauj dalībvalstīm šādu atbrīvojumu piemērot agrāk, arī attiecībā uz 2025. un 2026. finanšu gadu, ievērojot tiesiskās noteiktības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pašlaik ilgtspējas ziņošanas prasība attiecas uz noteiktām lielām sabiedriskas nozīmes struktūrām. No sabiedrībām, kurām šobrīd ir vai būtu šāds pienākums, pēc Latvijas Bankas rīcībā esošās informācijas tikai dažas atbildīs ESG Omnibus direktīvā noteiktajiem kritērijiem, kuri tiek ieviesti ar grozījumiem Ilgtspējas informācijas atklāšanas likumā. Līdz ar to Latvijas Banka uzskata par pamatotu samazināt administratīvo slogu un atbrīvot sabiedrības, kuras šobrīd neatbilst ESG Omnibus direktīvā noteiktajiem kritērijiem, no pienākuma sagatavot ilgtspējas ziņojumu, tostarp par 2026. finanšu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un atzīmējam, ka likumprojektā jau tika ietverts pārejas noteikumu 17.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Attiecībā uz pārskata gadu, kurš sākas 2026. gadā, šā likuma 4. un 7. panta prasības var nepiemērot šā likuma pārejas noteikumu 5. un 6. punktā minētā sabiedrība, kuras neto apgrozījums bilances datumā nepārsniedz 450 000 000 </w:t>
            </w:r>
            <w:r w:rsidR="00000000" w:rsidRPr="00000000" w:rsidDel="00000000">
              <w:rPr>
                <w:i w:val="1"/>
                <w:rtl w:val="0"/>
              </w:rPr>
              <w:t xml:space="preserve">euro</w:t>
            </w:r>
            <w:r w:rsidR="00000000" w:rsidRPr="00000000" w:rsidDel="00000000">
              <w:rPr>
                <w:rtl w:val="0"/>
              </w:rPr>
              <w:t xml:space="preserve"> vai kuras vidējais darbinieku skaits pārskata gadā nepārsniedz 1 000."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izmantota dalībvalstīm noteiktā izvēles iespēja atbrīvot sabiedrības, kuras šobrīd neatbilst Omnibus direktīvā noteiktajiem kritērijiem, no pienākuma sagatavot ilgtspējas ziņojumu par 2026. pārskata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Lielai sabiedrībai, kura ir sabiedriskas nozīmes struktūra un kuras darbinieku skaits ir lielāks par 500, ir pienākums sagatavot šā likuma 4. pantā minēto ilgtspējas ziņojumu par 2024., 2025. un 2026. pārskata gadu (pārskata gadu, kurš sākas attiecīgi 2024. gada 1. janvārī vai 2024. kalendāra gada laikā, 2025. gada 1. janvārī vai 2025. kalendāra gada laikā un 2026. gada 1. janvārī vai 2026. kalendāra gada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izteikt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Liela koncerna mātes sabiedrībai, kura ir sabiedriskas nozīmes struktūra un kuras darbinieku skaits ir lielāks par 500, ir pienākums sagatavot šā likuma 7. pantā minēto konsolidēto  ilgtspējas ziņojumu par 2024., 2025. un 2026. pārskata gadu (pārskata gadu, kurš sākas attiecīgi 2024. gada 1. janvārī vai 2024. kalendāra gada laikā, 2025. gada 1. janvārī vai 2025. kalendāra gada laikā un 2026. gada 1. janvārī vai 2026. kalendāra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ESG Omnibus direktīva ((ES) 2026/470) būtiski sašaurina uzņēmumu loku, kuriem būs pienākums sagatavot ilgtspējas ziņojumu. Turpmāk šī prasība attieksies tikai uz uzņēmumiem ar neto apgrozījumu virs 450 milj. euro un vairāk nekā 1000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ilgtspējas ziņošanas pienākums bija noteikts jau no 2024. finanšu gada, bet kuri neatbildīs jaunajiem kritērijiem, no 2027. gada tiks atbrīvoti no šī pienākuma. Direktīva vienlaikus ļauj dalībvalstīm šādu atbrīvojumu piemērot agrāk, arī attiecībā uz 2025. un 2026. finanšu gadu, ievērojot tiesiskās noteiktības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pašlaik ilgtspējas ziņošanas prasība attiecas uz noteiktām lielām sabiedriskas nozīmes struktūrām. No sabiedrībām, kurām šobrīd ir vai būtu šāds pienākums, pēc Latvijas Bankas rīcībā esošās informācijas tikai dažas atbildīs ESG Omnibus direktīvā noteiktajiem kritērijiem, kuri tiek ieviesti ar grozījumiem Ilgtspējas informācijas atklāšanas likumā. Līdz ar to Latvijas Banka uzskata par pamatotu samazināt administratīvo slogu un atbrīvot sabiedrības, kuras šobrīd neatbilst ESG Omnibus direktīvā noteiktajiem kritērijiem, no pienākuma sagatavot ilgtspējas ziņojumu, tostarp par 2026. finanšu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un atzīmējam, ka likumprojektā jau tika ietverts pārejas noteikumu 17.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Attiecībā uz pārskata gadu, kurš sākas 2026. gadā, šā likuma 4. un 7. panta prasības var nepiemērot šā likuma pārejas noteikumu 5. un 6. punktā minētā sabiedrība, kuras neto apgrozījums bilances datumā nepārsniedz 450 000 000 </w:t>
            </w:r>
            <w:r w:rsidR="00000000" w:rsidRPr="00000000" w:rsidDel="00000000">
              <w:rPr>
                <w:i w:val="1"/>
                <w:rtl w:val="0"/>
              </w:rPr>
              <w:t xml:space="preserve">euro</w:t>
            </w:r>
            <w:r w:rsidR="00000000" w:rsidRPr="00000000" w:rsidDel="00000000">
              <w:rPr>
                <w:rtl w:val="0"/>
              </w:rPr>
              <w:t xml:space="preserve"> vai kuras vidējais darbinieku skaits pārskata gadā nepārsniedz 1 000."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izmantota dalībvalstīm noteiktā izvēles iespēja atbrīvot sabiedrības, kuras šobrīd neatbilst Omnibus direktīvā noteiktajiem kritērijiem, no pienākuma sagatavot ilgtspējas ziņojumu par 2026. pārskata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Liela koncerna mātes sabiedrībai, kura ir sabiedriskas nozīmes struktūra un kuras darbinieku skaits ir lielāks par 500, ir pienākums sagatavot šā likuma 7. pantā minēto konsolidēto  ilgtspējas ziņojumu par 2024., 2025. un 2026. pārskata gadu (pārskata gadu, kurš sākas attiecīgi 2024. gada 1. janvārī vai 2024. kalendāra gada laikā, 2025. gada 1. janvārī vai 2025. kalendāra gada laikā un 2026. gada 1. janvārī vai 2026. kalendāra gada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likumu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pants. Ilgtspējas informācijas pieprasīšanas ierobežojumi vērtību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kurai saskaņā ar šā likuma 4.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pamats uzskatīt, ka pašdeklarācijā ietvertā informācija ir acīmredzami nepareiza.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Eiropas Komisijas pieņemtajos ilgtspējas ziņu sniegšanas standartos, kuru izmantošana ir brīvprātīga (turpmāk — brīvprātīgie standarti) noteikto informāciju, ja informācija tiek pieprasīta ilgtspējas ziņu sniegšanas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ir spēkā tiktāl, ciktāl tas paredz pienākumu sniegt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tās tiesībām atteikties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ziņojošā sabiedrība uzskatāma par izpildījušu šajā likumā noteiktās prasības attiecībā uz informācijas sniegšanu par vērtību ķēdi, ja tā nav saņēmusi no aizsargātās sabiedrības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pieprasījumiem, kas nepieciešami pienācīgas rūpības pienākumu izpildei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pirmajā daļā vārdu "pamatots" vai arī vārdus "pamatots pamats" aizstāt ar vārdiem "pamatots iemesls".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pants. Ilgtspējas informācijas pieprasīšanas ierobežojumi vērtību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kurai saskaņā ar šā likuma 4.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iemesls uzskatīt, ka pašdeklarācijā ietvertā informācija ir acīmredzami nepareiza.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Eiropas Komisijas pieņemtajos ilgtspējas ziņu sniegšanas standartos, kuru izmantošana ir brīvprātīga (turpmāk — brīvprātīgie standarti) noteikto informāciju, ja informācija tiek pieprasīta ilgtspējas ziņu sniegšanas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nav spēkā tiktāl, ciktāl tas paredz pienākumu sniegt šādu informāciju, neietekmējot pārējo līguma noteikumu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tās tiesībām atteikties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ziņojošā sabiedrība uzskatāma par izpildījušu šajā likumā noteiktās prasības attiecībā uz informācijas sniegšanu par vērtību ķēdi, ja tā nav saņēmusi no aizsargātās sabiedrības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pieprasījumiem, kas nepieciešami pienācīgas rūpības pienākumu izpildei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pants. Ilgtspējas informācijas pieprasīšanas ierobežojumi vērtību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kurai saskaņā ar šā likuma 7.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pamats uzskatīt, ka pašdeklarācijā ietvertā informācija ir acīmredzami nepareiza.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brīvprātīgajos standartos noteikto informāciju, ja informācija tiek pieprasīta ilgtspējas ziņu sniegšanas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ir spēkā tiktāl, ciktāl tas paredz pienākumu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tās tiesībām atteikties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ziņojošā sabiedrība uzskatāma par izpildījušu šajā likumā noteiktās prasības attiecībā uz informācijas sniegšanu par vērtību ķēdi, ja tā nav saņēmusi no aizsargātās sabiedrības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pieprasījumiem, kas nepieciešami pienācīgas rūpības pienākumu izpildei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pirmajā daļā vārdu "pamatots" vai arī vārdus "pamatots pamats" aizstāt ar vārdiem "pamatots iemesls".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pants. Ilgtspējas informācijas pieprasīšanas ierobežojumi vērtību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kurai saskaņā ar šā likuma 7.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iemesls uzskatīt, ka pašdeklarācijā ietvertā informācija ir acīmredzami nepareiza.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brīvprātīgajos standartos noteikto informāciju, ja informācija tiek pieprasīta ilgtspējas ziņu sniegšanas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noteikums, kas ir pretrunā šīs daļas 1. punktam, nav spēkā tiktāl, ciktāl tas paredz pienākumu sniegt šādu informāciju, neietekmējot pārējo līguma noteikumu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tās tiesībām atteikties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ziņojošā sabiedrība uzskatāma par izpildījušu šajā likumā noteiktās prasības attiecībā uz informācijas sniegšanu par vērtību ķēdi, ja tā nav saņēmusi no aizsargātās sabiedrības informāciju, kas pārsniedz brīvprātīgajos standartos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pieprasījumiem, kas nepieciešami pienācīgas rūpības pienākumu izpildei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pārejas noteikumu 46.punktu Ministru kabinets, izstrādājot likumprojektu 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 ieviešanai, </w:t>
            </w:r>
            <w:r w:rsidR="00000000" w:rsidRPr="00000000" w:rsidDel="00000000">
              <w:rPr>
                <w:u w:val="single"/>
                <w:rtl w:val="0"/>
              </w:rPr>
              <w:t xml:space="preserve">vienlaikus</w:t>
            </w:r>
            <w:r w:rsidR="00000000" w:rsidRPr="00000000" w:rsidDel="00000000">
              <w:rPr>
                <w:rtl w:val="0"/>
              </w:rPr>
              <w:t xml:space="preserve"> sagatavo un iesniedz attiecīgus šā likuma grozījumus par publiskas personas kapitālsabiedrības un publiski privātas kapitālsabiedrības darbības pārskatiem un ilgtspējas ziņu sniegšanu. Lūdzu precizēt protokollēmuma 2. punktu, nosakot Valsts kancelejai sagatavot likumprojektu iesniegšanai Saeimā vienlaikus ar likumprojektu "Grozījumi Publiskas personas kapitāla daļu un kapitālsabiedrību pārvaldības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Ilgtspējas informācijas atklāšanas likumā" ir iekļauts Valdības rīcības plānā Deklarācijas par Andra Kulberga vadītā Ministru kabineta iecerēto darbību īstenošanai ar iesniegšanas termiņu Ministru kabinetā 2026. gada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 grozījumu savlaicīga virzība ir prioritārs uzdevums, jo ar tiem tiek būtiski samazināts administratīvais slogs ilgtspējas ziņošanai. Likumprojekta pieņemšana ir nepieciešama arī, lai atbrīvotu tos uzņēmumus, kuri vairs neatbilst jaunajiem kritērijiem (t.i., nesasniedz 1000 darbiniekus vai 450 miljonu euro neto apgrozījumu), no pienākuma sagatavot ilgtspējas ziņojumu jau par 2026. pārskata gadu. Ņemot vērā, ka uzņēmējiem par jaunajiem atvieglojumiem un piemērojamajām prasībām ir jāuzzina savlaicīgi savas darbības plānošanai, likumprojekta saskaņošana un virzība nodrošināma bez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26-TA-1510</w:t>
    </w:r>
    <w:r>
      <w:br/>
    </w:r>
    <w:r w:rsidR="00000000" w:rsidRPr="00000000" w:rsidDel="00000000">
      <w:rPr>
        <w:rtl w:val="0"/>
      </w:rPr>
      <w:t xml:space="preserve">21.09.2026. 09.17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26-TA-1510</w:t>
    </w:r>
    <w:r>
      <w:br/>
    </w:r>
    <w:r w:rsidR="00000000" w:rsidRPr="00000000" w:rsidDel="00000000">
      <w:rPr>
        <w:rtl w:val="0"/>
      </w:rPr>
      <w:t xml:space="preserve">21.09.2026. 09.17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Izziņa_26-TA-1510.docx</dc:title>
</cp:coreProperties>
</file>

<file path=docProps/custom.xml><?xml version="1.0" encoding="utf-8"?>
<Properties xmlns="http://schemas.openxmlformats.org/officeDocument/2006/custom-properties" xmlns:vt="http://schemas.openxmlformats.org/officeDocument/2006/docPropsVTypes"/>
</file>