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sīkie (mikro), mazie un vidējie saimnieciskās darbības veicēji, kuri atbilst Komisijas 2014. gada 17. jūnija Regulas (ES) Nr. 651/2014, ar ko noteiktas atbalsta kategorijas atzīst par saderīgām ar iekšējo tirgu, piemērojot Līguma 107. un 108. pantu (turpmāk – Komisijas regula Nr. 651/2014), I pielikumā noteiktajai definīcijai vai Komisijas 2022. gada 14. decembra Regulas (ES) Nr. 2022/2472, ar kuru, piemērojot Līguma par Eiropas Savienības darbību 107. un 108. pantu, dažu kategoriju atbalstu lauksaimniecības un mežsaimniecības nozarē un lauku apvidos atzīst par saderīgu ar iekšējo tirgu (turpmāk – regula Nr. 2022/2472) I pielikuma 2.pantā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2022. gada 14. decembra Regulas (ES) Nr. 2022/2472, ar kuru, piemērojot Līguma par Eiropas Savienības darbību 107. un 108. pantu, dažu kategoriju atbalstu lauksaimniecības un mežsaimniecības nozarē un lauku apvidos atzīst par saderīgu ar iekšējo tirgu (turpmāk – regula Nr. 2022/2472) 9. panta 4. punktu šā panta 1. punktā minētās atbalsta shēmas vai </w:t>
            </w:r>
            <w:r w:rsidR="00000000" w:rsidRPr="00000000" w:rsidDel="00000000">
              <w:rPr>
                <w:i w:val="1"/>
                <w:rtl w:val="0"/>
              </w:rPr>
              <w:t xml:space="preserve">ad hoc</w:t>
            </w:r>
            <w:r w:rsidR="00000000" w:rsidRPr="00000000" w:rsidDel="00000000">
              <w:rPr>
                <w:rtl w:val="0"/>
              </w:rPr>
              <w:t xml:space="preserve"> atbalsta pilnais teksts jo īpaši ietver skaidru atsauci uz šo regulu, proti, ir norādīts tās nosaukums un atsauce uz publikāciju Eiropas Savienības Oficiālajā Vēstnesī, un konkrētiem III nodaļas noteikumiem, uz kuriem attiecas minētais akts, vai attiecīgā gadījumā valsts tiesību aktiem, kuri nodrošina šīs regulas attiecīgo noteikumu ievērošanu. Atbalsta shēmai vai </w:t>
            </w:r>
            <w:r w:rsidR="00000000" w:rsidRPr="00000000" w:rsidDel="00000000">
              <w:rPr>
                <w:i w:val="1"/>
                <w:rtl w:val="0"/>
              </w:rPr>
              <w:t xml:space="preserve">ad hoc</w:t>
            </w:r>
            <w:r w:rsidR="00000000" w:rsidRPr="00000000" w:rsidDel="00000000">
              <w:rPr>
                <w:rtl w:val="0"/>
              </w:rPr>
              <w:t xml:space="preserve"> atbalstam pievieno tā īstenošanas noteikumus un tā grozījumus. Saistībā ar minēto lūdzam noteikumu projektā atsaucē uz regulu Nr. 2022/2472 ietvert atsauci uz šīs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4.1. punktā papildinot ar atsauci uz regulas Nr.2022/2472 publikāciju ES oficiālajā Vēstnesī (Eiropas Savienības Oficiālais Vēstnesis, 2022. gada 21. decembris, Nr. 327/1).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sīkie (mikro), mazie un vidējie saimnieciskās darbības veicēji, kuri atbilst Komisijas 2014. gada 17. jūnija Regulas (ES) Nr. 651/2014, ar ko noteiktas atbalsta kategorijas atzīst par saderīgām ar iekšējo tirgu, piemērojot Līguma 107. un 108. pantu (turpmāk – Komisijas regula Nr. 651/2014), I pielikumā noteiktajai definīcijai vai Komisijas 2022. gada 14. decembra Regulas (ES) Nr.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decembris, Nr. 327/1) (turpmāk – regula Nr. 2022/2472) I pielikuma 2.pantā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ar dienu, kad stājas spēkā Eiropas Komisijas lēmums par atbalsta saderību 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regula Nr. 702/2014) 52. panta otrā daļa paredz, ka šo regulu piemēro līdz 2022. gada 31. decembrim, bet minētās regulas 51. panta 4. punkts paredz, ka, beidzoties šīs regulas spēkā esības periodam, visām atbalsta shēmām, kurām ir piešķirts atbrīvojums saskaņā ar šo regulu, atbrīvojums paliek spēkā vēl uz sešus mēnešus ilgu pielāgošanās periodu. Regulas Nr. 2022/2472 62. panta 1. punkts paredz, ka Regulas (ES) Nr. 702/2014 52. pants noteic, ka minēto regulu piemēro līdz 2022. gada 31. decembrim. Šī regula aizstās Regulu (ES) Nr. 702/2014 tiklīdz tā zaudēs spēku. Savukārt minētās regulas 64. pants paredz, ka šī regula stājas spēkā 2023. gada 1. janvārī un to piemēro no 2023. gada 1. janvāra līdz 2029. gada 31. decembrim. Attiecīgi secināms, ka regula Nr. 702/2014 ir piemērojama noteikumu projektā paredzētajam atbalstam sešus mēnešus pēc 2022. gada 31. decembra. Līdz ar to pēc minētā regulas Nr. 702/2014 piemērošanas laikposma atbalsta piešķiršanai saskaņā ar regulu Nr. 2022/2472 varētu būt nepieciešams iepriekš saņemt jaunu Eiropas Komisijas lēmumu par atbalsta saderību ar Eiropas Savienības iekšējo tirgu, kas neizriet no noteikumu projekta un tā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sniegt atbilstošu skaidrojumu par minēto noteikumu projekta anotācijā, kā arī nepieciešamības gadījumā lūdzam papildināt Ministru kabineta 2022. gada 21. jūnija noteikumus Nr. 377 "Noteikumi par garantiju programmu pret Ukrainu vērstās Krievijas militārās agresijas radīto ekonomisko seku mazināšanai" ar atbilstošu pārejas regulējumu (noslēguma jautājumu) par atbalsta piešķiršanas kārtību saskaņā ar regulu Nr.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veiktie grozījumi ir tehniski attiecīgi nav vajadzība  saņemt jaunu Eiropas Komisijas lēmumu par atbalsta saderību ar Eiropas Savienības iekšējo tirgu. Vienlaikus informējam, ka esam uzrunājuši Finanšu ministriju, lai noskaidroto vai būtu nepieciešama komunikācija ar EK par šiem grozījumiem un saņēmām apstiprinājumu, ka tie ir tehniskie grozījumi,kuru nevajag skaņot ar 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ar dienu, kad stājas spēkā Eiropas Komisijas lēmums par atbalsta saderību ar Eiropas Savienības iekšējo tirgu.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23-TA-976</w:t>
    </w:r>
    <w:r>
      <w:br/>
    </w:r>
    <w:r w:rsidR="00000000" w:rsidRPr="00000000" w:rsidDel="00000000">
      <w:rPr>
        <w:rtl w:val="0"/>
      </w:rPr>
      <w:t xml:space="preserve">30.05.2023. 13.34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23-TA-976</w:t>
    </w:r>
    <w:r>
      <w:br/>
    </w:r>
    <w:r w:rsidR="00000000" w:rsidRPr="00000000" w:rsidDel="00000000">
      <w:rPr>
        <w:rtl w:val="0"/>
      </w:rPr>
      <w:t xml:space="preserve">30.05.2023. 13.34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Izziņa_23-TA-976.docx</dc:title>
</cp:coreProperties>
</file>

<file path=docProps/custom.xml><?xml version="1.0" encoding="utf-8"?>
<Properties xmlns="http://schemas.openxmlformats.org/officeDocument/2006/custom-properties" xmlns:vt="http://schemas.openxmlformats.org/officeDocument/2006/docPropsVTypes"/>
</file>