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30. augusta noteikumos Nr. 664 "Sabiedrisko pakalpojumu licencēšanas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(14.01.2021.)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28.01.2026. 17:54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par tiesību akta ietekmi uz administratīvo slogu, veicot administratīvo izmaksu monetāru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ir tādas izmaksas, ko rada informācijas sniegšanas pienākums un tā izpilde. Šī tiesību akta projekta kontekstā slogu komersantiem veido prasība aizpildīt 6.pielikumu un iesniegt to regulatoram.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juridiskām personām veic saskaņā ar Ministru kabineta noteikumu Nr. 617 “Tiesību akta projekta sākotnējās ietekmes izvērtēšanas kārtība” 17., punktu, aprēķinot stundas samaksas likmi, laika patēriņu informācijas sagatavošanai un iesniegšanai, subjektu skaitu un reižu skaitu gada laikā, kad paredzēta informācijas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iespējams noteikt precīzu subjektu skaitu, atbilstoši metodiskajā materiālā “Vadlīnijas tiesību akta sākotnējās ietekmes novērtēšanai un novērtējuma ziņojuma sagatavošanai vienotajā tiesību aktu izstrādes un saskaņošanas portālā” 24.lpp noteiktajam</w:t>
            </w:r>
            <w:r w:rsidR="00000000" w:rsidRPr="00000000" w:rsidDel="00000000">
              <w:rPr>
                <w:b w:val="1"/>
                <w:rtl w:val="0"/>
              </w:rPr>
              <w:t xml:space="preserve"> administratīvo izmaksu aprēķinu veic vienam tiesību aktu subjektam</w:t>
            </w:r>
            <w:r w:rsidR="00000000" w:rsidRPr="00000000" w:rsidDel="00000000">
              <w:rPr>
                <w:rtl w:val="0"/>
              </w:rPr>
              <w:t xml:space="preserve">. Šī tiesību akta projekta kontekstā, tas būs aprēķins vienam komersantam, kas sniedz attiecīgo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veicot papildinājumus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19:24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precizējumus informācijas sniegšanas prasībās  attiecībā uz komersantiem (6. pielikumā iestrādājot prasību sniegt papildus informāciju), nepieciešams izvērtēt tiesību akta projekta ietekmi uz administratīvo slogu un veikt administratīvo izmaksu monetāru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un atbilstības novērtējums juridiskām  personām aprakstāms anotācijas 2. 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pilnībā, papildinot anotāciju ar atbilstošu paskaidrojumu un atsauci uz normatīvo aktu, kurā ir noteikta sabiedrisko pakalpojumu sniedzējiem noteiktās valsts nodevas likmes par sabiedrisko pakalpojumu regulēšanu.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uztveramībai aicinātu vienkāršot pamatojuma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saīsinot pamatojuma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tehniskais nodrošinājums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2.1.apakšpunktā aizstāt vārdus “aukstumapgādes pārvades” ar vārdiem “aukstumenerģijas pārvades”.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saskaņota terminoloģija ar Enerģētikas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2.2.apakšpunktā papildināt iekavās aiz vārda “.dwg” ar vārdiem “vai pielīdzināmā”.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administratīvā sloga un izmaksu mazināšana. “.dwg” formāts ir AutoCAD programmas fails, kas ir maksas projektēšanas programma. Maziem komersantiem šādas programmas nav un, lai sagatavotu nepieciešamo informāciju, jāizmanto ārpakalpojums, kas rada papildus izmaksas. Licencēšanai nepieciešamo vizuālo informāciju pietiekošā apmērā var sagatavot arī ar citām pielīdzināmām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veicot atbilstošus grozījumus pielikumā.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tehniskais nodrošinājums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25-TA-2422</w:t>
    </w:r>
    <w:r>
      <w:br/>
    </w:r>
    <w:r w:rsidR="00000000" w:rsidRPr="00000000" w:rsidDel="00000000">
      <w:rPr>
        <w:rtl w:val="0"/>
      </w:rPr>
      <w:t xml:space="preserve">22.02.2026. 19.50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25-TA-2422</w:t>
    </w:r>
    <w:r>
      <w:br/>
    </w:r>
    <w:r w:rsidR="00000000" w:rsidRPr="00000000" w:rsidDel="00000000">
      <w:rPr>
        <w:rtl w:val="0"/>
      </w:rPr>
      <w:t xml:space="preserve">22.02.2026. 19.50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Izziņa_25-TA-2422.docx</dc:title>
</cp:coreProperties>
</file>

<file path=docProps/custom.xml><?xml version="1.0" encoding="utf-8"?>
<Properties xmlns="http://schemas.openxmlformats.org/officeDocument/2006/custom-properties" xmlns:vt="http://schemas.openxmlformats.org/officeDocument/2006/docPropsVTypes"/>
</file>