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26-TA-566: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“Dzīves situāciju pakalpojumu pilnveidošana” pases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04.09.2026. 14:42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pēc projekta pabeigšanas nodrošinātu projekta rezultātu uzturēšanu, atbalstīt vienas amata vietas izveidi Valsts digitālās attīstības aģentūrā no 2030. gada 1. janvāra. Viedās administrācijas un reģionālās attīstības ministrijai minētās amata vietas uzturēšanai nepieciešamo finansējumu – ne vairāk kā 72 354,98 </w:t>
            </w:r>
            <w:r w:rsidR="00000000" w:rsidRPr="00000000" w:rsidDel="00000000">
              <w:rPr>
                <w:i w:val="1"/>
                <w:rtl w:val="0"/>
              </w:rPr>
              <w:t xml:space="preserve">euro </w:t>
            </w:r>
            <w:r w:rsidR="00000000" w:rsidRPr="00000000" w:rsidDel="00000000">
              <w:rPr>
                <w:rtl w:val="0"/>
              </w:rPr>
              <w:t xml:space="preserve">apmērā 2030. gadā un turpmāk ik gadu – pieprasīt papildus likumprojekta par valsts budžetu kārtējam gadam un vidēja termiņa budžeta ietvara sagatavošanas un izskatīšanas procesā kopā ar visu ministriju un centrālo valsts iestāžu iesniegtajiem prioritāro pasākumu pieteikumiem atbilstoši valsts budžeta finansiālajām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iebilst jaunas amata vietas izveidei. Vēršam uzmanību, ka ieviešot digitalizācijas pakalpojumus, tiem ir jābūt vērstiem uz resursu optimizāciju nākotnē, t.sk. arī cilvēkresursu, kas nozīmē, ka iestādei ir jāpārvērtē savi procesi un  tādējādi jānodrošina amata vieta un tās uzturēšana tai jau piešķirto resursu ietvaros. Kā viens no risinājumiem ir amata vietu un tās atlīdzību rast vienojoties par to ar Veselības ministriju, kā projektā iesaistīto resoru.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kopumā notiek gan budžeta izdevumu pilnīga izvērtēšana, kā arī virzība uz 0 budžeta ieviešanu, kā arī jāņem vērā, ka būtiski pieaugot izdevumiem valsts drošībai un aizsardzībai 2030.gadā ir paredzams ļoti problemātisks budžeta izdevumu un ieņēmumu sabalansēšanas process.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jebkurai iestādei un resoram ir iespējas pārskatīt savas veicamās funkcijas un veicot optimizācijas pasākumus sniegt priekšlikumus par uzlikto funkciju un uzdevumu izpildei piešķirto resursu sabalansētību, atsakoties no kādas funkcijas vai uzdevuma īstenošanas.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Anotācijas 3.sadaļas 7.punktā pievienotais aprēķins par atlīdzību var tikt uzskatīts tikai un vienīgi kā indikatīvs, ņemot vērā, ka šobrīd izmantotā prognozētā mēnešalga 2028.gadā var mainīties, īpaši situācijā ja tiek pieņemts lēmums par bāzes mēnešalgu iesaldēšanu. nevaram piekrist kopējam aprēķinam attiecībā uz piemaksām un soc. garantijām, jo šobrīd norādītais piemaksu apmērs ir 20%, kas ir vairāk nekā norādīts Valsts kancelejas vadlīnijās, kā arī sociālo garantiju kopējais apjoms (atvaļinājuma pabalsts un veselības apdrošināšana) pārsniedz vadlīnijās ietverto apmēru- 5%.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dokumentos izdzēsta informācija par papildus amata vietu. Proti, izdzēsts rīkojuma projekta 4. punkts, labota pases 6. sadaļa un anotācijas 3. sadaļā izdzēsts 7. apakšpunkts un precizēta apakšsadaļa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"Dzīves situāciju pakalpojumu pilnveidošana"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projektu papildināt ar punktu, kas Centrālajai finanšu un līgumu aģentūrai noteiktu uzdevumu uzaicināt projekta iesniedzēju – Valsts digitālās attīstības aģentūru iesniegt projekta iesniegumu 1.3.1.1. pasākuma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"Dzīves situāciju pakalpojumu pilnveidošana" pases apstiprināšanu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projektu "Dzīves situāciju pakalpojumu pilnveidošana" (turpmāk – projekts) Eiropas Savienības kohēzijas politikas programmas 2021.–2027. gadam 1.3.1.1. pasākuma "IKT risinājumu un pakalpojumu attīstība un iespēju radīšana privātajam sektoram" ietvaros un tā pasi (pielikumā), kurā noteikts projekta mērķis, sasniedzamās rādītāju vērtības, plānotie ieguvumi, īstenojamās darbības un projekta kopējās attiecināmās izmaksas ne vairāk kā 4 000 000 </w:t>
            </w:r>
            <w:r w:rsidR="00000000" w:rsidRPr="00000000" w:rsidDel="00000000">
              <w:rPr>
                <w:i w:val="1"/>
                <w:rtl w:val="0"/>
              </w:rPr>
              <w:t xml:space="preserve">euro</w:t>
            </w:r>
            <w:r w:rsidR="00000000" w:rsidRPr="00000000" w:rsidDel="00000000">
              <w:rPr>
                <w:rtl w:val="0"/>
              </w:rPr>
              <w:t xml:space="preserve"> apmērā, tai skaitā Eiropas Reģionālās attīstības fonda finansējums 3 400 000 </w:t>
            </w:r>
            <w:r w:rsidR="00000000" w:rsidRPr="00000000" w:rsidDel="00000000">
              <w:rPr>
                <w:i w:val="1"/>
                <w:rtl w:val="0"/>
              </w:rPr>
              <w:t xml:space="preserve">euro</w:t>
            </w:r>
            <w:r w:rsidR="00000000" w:rsidRPr="00000000" w:rsidDel="00000000">
              <w:rPr>
                <w:rtl w:val="0"/>
              </w:rPr>
              <w:t xml:space="preserve"> apmērā un valsts budžeta finansējums pievienotās vērtības nodokļa izmaksu segšanai ne vairāk kā 600 000 </w:t>
            </w:r>
            <w:r w:rsidR="00000000" w:rsidRPr="00000000" w:rsidDel="00000000">
              <w:rPr>
                <w:i w:val="1"/>
                <w:rtl w:val="0"/>
              </w:rPr>
              <w:t xml:space="preserve">euro </w:t>
            </w:r>
            <w:r w:rsidR="00000000" w:rsidRPr="00000000" w:rsidDel="00000000">
              <w:rPr>
                <w:rtl w:val="0"/>
              </w:rPr>
              <w:t xml:space="preserve">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1.punktu, svītrojot tajā vārdus “pievienotās vērtības nodokļa izmaksu segšanai”, ievērojot, ka finansējuma avotu apmērs projekta īstenošanai ir noteikts nevis saistībā ar izmaksu būtību, bet ievērojot 1.3.1.1. pasākuma "IKT risinājumu un pakalpojumu attīstība un iespēju radīšana privātajam sektoram" īstenošanas noteikumos paredzēto, ka attiecināmām izmaksām ERAF finansējums ir 85 % un nacionālais finansējums ir 15 %.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Izlabots.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projektu "Dzīves situāciju pakalpojumu pilnveidošana" (turpmāk – projekts) Eiropas Savienības kohēzijas politikas programmas 2021.–2027. gadam 1.3.1.1. pasākuma "IKT risinājumu un pakalpojumu attīstība un iespēju radīšana privātajam sektoram" ietvaros un tā pasi (pielikumā), kurā noteikts projekta mērķis, sasniedzamās rādītāju vērtības, plānotie ieguvumi, īstenojamās darbības un projekta kopējās attiecināmās izmaksas ne vairāk kā 4 000 000 </w:t>
            </w:r>
            <w:r w:rsidR="00000000" w:rsidRPr="00000000" w:rsidDel="00000000">
              <w:rPr>
                <w:i w:val="1"/>
                <w:rtl w:val="0"/>
              </w:rPr>
              <w:t xml:space="preserve">euro</w:t>
            </w:r>
            <w:r w:rsidR="00000000" w:rsidRPr="00000000" w:rsidDel="00000000">
              <w:rPr>
                <w:rtl w:val="0"/>
              </w:rPr>
              <w:t xml:space="preserve"> apmērā, tai skaitā Eiropas Reģionālās attīstības fonda finansējums 3 400 000 </w:t>
            </w:r>
            <w:r w:rsidR="00000000" w:rsidRPr="00000000" w:rsidDel="00000000">
              <w:rPr>
                <w:i w:val="1"/>
                <w:rtl w:val="0"/>
              </w:rPr>
              <w:t xml:space="preserve">euro</w:t>
            </w:r>
            <w:r w:rsidR="00000000" w:rsidRPr="00000000" w:rsidDel="00000000">
              <w:rPr>
                <w:rtl w:val="0"/>
              </w:rPr>
              <w:t xml:space="preserve"> apmērā un valsts budžeta finansējums ne vairāk kā 600 000 </w:t>
            </w:r>
            <w:r w:rsidR="00000000" w:rsidRPr="00000000" w:rsidDel="00000000">
              <w:rPr>
                <w:i w:val="1"/>
                <w:rtl w:val="0"/>
              </w:rPr>
              <w:t xml:space="preserve">euro </w:t>
            </w:r>
            <w:r w:rsidR="00000000" w:rsidRPr="00000000" w:rsidDel="00000000">
              <w:rPr>
                <w:rtl w:val="0"/>
              </w:rPr>
              <w:t xml:space="preserve">apmērā.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pēc projekta pabeigšanas nodrošinātu projekta rezultātu uzturēšanu, atbalstīt vienas amata vietas izveidi Valsts digitālās attīstības aģentūrā no 2030. gada 1. janvāra. Viedās administrācijas un reģionālās attīstības ministrijai minētās amata vietas uzturēšanai nepieciešamo finansējumu – ne vairāk kā 72 354,98 </w:t>
            </w:r>
            <w:r w:rsidR="00000000" w:rsidRPr="00000000" w:rsidDel="00000000">
              <w:rPr>
                <w:i w:val="1"/>
                <w:rtl w:val="0"/>
              </w:rPr>
              <w:t xml:space="preserve">euro </w:t>
            </w:r>
            <w:r w:rsidR="00000000" w:rsidRPr="00000000" w:rsidDel="00000000">
              <w:rPr>
                <w:rtl w:val="0"/>
              </w:rPr>
              <w:t xml:space="preserve">apmērā 2030. gadā un turpmāk ik gadu – pieprasīt papildus likumprojekta par valsts budžetu kārtējam gadam un vidēja termiņa budžeta ietvara sagatavošanas un izskatīšanas procesā kopā ar visu ministriju un centrālo valsts iestāžu iesniegtajiem prioritāro pasākumu pieteikumiem atbilstoši valsts budžeta finansiālajām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pie anotācijas 3.sadaļas, lūdzam precizēt rīkojuma projekta 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- 16.09.2026.)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 3.3.5. un 5.2.5. punktā lūdzu precizēt "SPKC informācijas sistēma" uz "veselības nozares valsts informācijas sistēma". Medicīniskā apliecība par nāves cēloni ir medicīniskais dokuments, kuru izsniedz ārstniecības personas. Medicīnisko dokumenti tiek apstrādāti e-veselības sistēmā. Paredzot medicīniskās apliecības par nāves cēloni apstrādi citā informācijas sistēmā, tiks radīts administratīvais slogs ārstniecības personām, tāpēc šāds risinājums ir ļoti rūpīgi pārdomājams un pamatojams. Līdz ar to lūdzam projekta pasē norādīt "veselības nozares valsts informācijas sistēma" un projekta laikā izvērtēt optimālo risinājumu - kura valsts informācijas sistēma būtu nosakāma kā primārā sistēma minētā medicīniskā dokumenta apstrādei un apritei, nodrošinot efektīvu, drošu un ārstniecības personām iespējami vienkāršu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- 16.09.2026.)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sadaļu "Projekta ieguvumu un lietderības rādītāju raksturojums (KPI)". Ņemot vērā, ka medicīniskā dokumenta "Medicīnas apliecība par nāves cēloni" digitalizācija, kurš ir datu avots miršanas fakta reģistrācijai, varētu mazināt arī dzimtsarakstu nodaļu administratīvo slogu, lūdzu  papildināt projekta pasi.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lietderību parāda jau esošais vienkāršotais aprēķins. Tā papildināšana būtu sarežģīta un laikietilpīga, ņemot vērā, ka potenciāli šādi dati dzimtsarakstu iestādēs var nebūt pieejami.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- 16.09.2026.)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7.sadaļu. Lūdzam precizēt rindkopu "SPKC ir biznesa īpašnieks projekta ietvaros izstrādājamajam digitālajam risinājumam medicīniskās apliecības par nāves cēloni sagatavošanai, apstrādei un datu apritei SPKC informācijas sistēmā. SPKC nodrošinās tā atbilstību veselības nozares normatīvajam regulējumam, kā arī nodrošinās procesu efektivitāti un turpmāku attīstību pēc projekta īstenošanas."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Medicīniskās apliecības par nāves cēloni aprites procesā ir iesaistītas arī dzimtsarakstu nodaļas un Latvijas Republikas diplomātiskās un konsulārās pārstāvniecības ārvalstīs (miršanas fakta reģistrācija notiek balstoties uz medicīnisko apliecību par nāves cēloni), līdz ar to medicīniskās apliecības par nāves cēloni digitalizācija neaprobežojas tikai ar datu apstrādi un apriti SPKC informācijas sistēmā, bet ietekmē ar miršanas fakta reģistrācijas procesu. Aicinām arī šo datu aprites posmu iekļaut projektā un atbilstoši precizēt 7.sadaļu.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Iekļauta savstarpējā komunikācijā saskaņotā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- 16.09.2026.)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projekta pases 7.punktā iekļauto teikumu "SPKC nodrošinās tā atbilstību veselības nozares normatīvajam regulējumam, kā arī nodrošinās procesu efektivitāti un turpmāku attīstību pēc projekta īstenošanas". Normatīvā regulējuma izmaiņa neskars tikai veselības nozari, bet visdrīzāk būs nepieciešamas arī Tieslietu ministrijas kompetencē esošajos normatīvajos aktos par civilstāvokļa aktu reģistrāciju. Lūdzam atbilstoši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Iekļauta savstarpējā komunikācijā saskaņotā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- 16.09.2026.)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3.4.4. punkts “Projektā sasniedzamie rezultāti”. Pašreizējā redakcija: “Digitāls risinājums medicīniskās apliecības par nāves cēloni sagatavošanai, apstrādei un datu apritei SPKC informācijas sistēmā.” - šāda redakcija pieļauj apliecības ieviešanu kā elektronisku dokumentu bez strukturētiem datiem, kas neļauj sasniegt datu kvalitātes uzlabojumu, nenodrošina automatizāciju.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redakcijā: “Strukturētu datu risinājums medicīniskās apliecības par nāves cēloni sagatavošanai veselības jomas elektroniskajās informācijas sistēmās un tās saņemšanai, kodēšanai, uzkrāšanai un statistiskajai apstrādei Nāves cēloņu (datubāzē)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Iekļauta savstarpējā komunikācijā saskaņotā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- 16.09.2026.)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5.2.5. punkts. Pašreizējā redakcija: “Izveidots digitāls risinājums medicīniskās apliecības par nāves cēloni sagatavošanai, apstrādei un datu apritei, nodrošinot vienotu elektronisku procesu un integrāciju ar valsts informācijas sistēmām.” - nepieciešama detalizācija, ietverot: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saistīto informācijas avotu uzskaitījumu (piemēram, E-veselība, FPRIS, dzimtsarakstu informācijas sistēma, SPKC nāves cēloņu datubāze, VTMEC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plānotā risinājuma drošības kategoriju - A klase;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pārziņa un apstrādātāja lomas visā datu apritē, nošķirot piekļuvi datiem par nāves faktu no medicīniskajiem datiem par nāves cēloni, katrai grupai norādot tiesisko pamatu.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detalizācijas līmenis ir zemāks. Uzskaitītā informācija atbilst projekta aktivitātes aprakstam, ko SPKC būs jāiesniedz pirms izstrāžu uzsākšanas un jāsaskaņo ar atbildīgajām iestādēm formālā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- 16.09.2026.)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sadaļa, apakšsadaļa “Informācija par nosacījumiem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Norādītais priekšnosacījums par normatīvā regulējuma spēkā esamību ir pretrunā ar anotācijas 4.sadaļas atzīmi “Nē” par ietekmi uz spēkā esošo tiesību normu sistēmu, jo apliecības par nāves cēloni formu un apriti nosaka medicīnisko dokumentu lietvedības kārtība un Ministru kabineta noteikumi Nr.134,, un apliecības izmantošanu - civilstāvokļa aktu reģistrācijas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priekšnosacījumu sarakstu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Apliecības par nāves cēloni apriti regulējošo normatīvo aktu grozījumu izstrāde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Novērtējuma par ietekmi uz datu aizsardzību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Funkcionālā un tehniskā risinājuma saskaņošana ar Veselības ministriju un LDVC veselības aprūpes jomas arhitektūras pārvaldības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anotācijas sadaļa attiecas uz šajā Ministru kabineta rīkojuma projektā iekļauto dokumentu ietekmi uz esošajiem tiesību aktiem. Proti, ar šo rīkojumu tiek lemts par projekta īstenošanu. Šāds lēmums neietekmē spēkā esošus normatīvos aktus, tāpēc nav jānorāda tiesību akti un atbildīgās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Pārējā informācija iekļauta atbilstoši savstarpējā komunikācijā saskaņotajam apjomam ar Veselības ministrijas resoru.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“Dzīves situāciju pakalpojumu pilnveidošana” paredzēta centralizētā koplietošanas paziņojumu pakalpojuma ieviešana līdz 2027.gada 4.ceturksnim atbilstoši projekta pases 5.2.3.punktā ietvertajam IKT risinājuma aprakstam. Vienlaikus projekta pases 3.3.2. punktā noteikts, ka attiecīgā ieguvumu rādītāja plānotā vērtība sasniedzama 2029. gadā. Aicinām izvērtēt minēto termiņu savstarpējo atbilstību un nepieciešamības gadījumā precizēt vai salāgot projekta pasē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Risinājums būs izstrādāts 2027. gadā, bet iestādes pievienosies līdz 2029. gadam. Risinājuma lietotāji būs arī e-adreses lietotāji, līdz ar to, lietotāju skaits tiks sasniegts 2027.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projekts var tikt īstenots līdz 2029. gada 31. decembrim. Līdz ar to lūdzam pases projekta "Projekta ieguvumu un lietderības rādītāju raksturojums (KPI)" sadaļā norādīt tikai tos projekta ieguvumus, kas ir attiecināmi uz projekta īstenošanas periodu. Ja paredzēts norādīt ieguvumus, kuru ietekme vai sasniegšana pārsniedz 2029. gada 31. decembri, lūdzam papildināt projekta pasi ar attiecīgu norādi, ka attiecīgie ieguvumi ir attiecināmi uz periodu pēc minētā termiņa.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ieskatā atsevišķa piebilde nav nepieciešama, jo uz to jau norāda gala termiņš.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pases 7. sadaļu "Cita būtiska informācija (projekta gatavības novērtējums)" ne tikai ar informāciju par risku mazināšanas pasākumiem, bet arī ar identificēto risku aprakstu, lai nodrošinātu pilnvērtīgu priekšstatu par projekta īstenošanas riskiem un to pārvaldību.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pirmās rindkopas teikumu secība.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korektai ES fondu noteiktās terminoloģijas lietojumam rīkojuma projekta pielikumā - projekta "Dzīves situāciju pakalpojumu pilnveidošana" pasē: tabulas 1.2. ailē "Projekta īstenošanas partneri (indikatīvi)" nepieciešams aizstāt tajā ietverto vārdu "īstenošanas" ar vārdu "sadarbības", savukārt tabulas 7. sadaļā "Cita būtiska informācija (Projekta gatavības novērtējums)" tiek norādīts uz Valsts digitālās attīstības aģentūru kā projekta iesniedzēju, lai gan atbilstoši informācijai projekta pases tabulas 1.1. ailē konkrētā iestāde ir finansējuma saņēmējs. Aicinām projekta pasē aktualizēt iestāžu, kas īsteno projektu, statusu.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Izlabots.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aprēķinu pamatotību un izsekojamību, lūdzam projekta pasē norādītajam ieguvumu aprēķinam pievienot izmantoto datu avotu (piemēram, saiti uz datu bāzi).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nav publiski pieejami.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pārliecinātos par to, ka ir apzināti ar rīkojuma izpildi saistītie tiesiskie apstākļi, ņemot vērā, ka projekts ietver personas datu apstrādes kvalitātes uzlabošanu, aicinām papildināt anotāciju, norādot, vai ir plānoti grozījumi normatīvajos aktos, lai nostiprinātu tiesisko pamatu personas datu apstrādei, vai un kur jau tas ir noteikts, gadījumā, ja netiek plānots grozīt normatīvos aktus attiecībā uz personas datu apstrādi.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sadaļa "4.2.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- 16.09.2026.)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par “Problēmas apraksts” sadaļu: aprakstā nav iekļauta tiesu medicīnas ekspertu apstrādes plūsma, tādējādi nav nosakāms, vai tiek aptverti visi attiecināmie gadījumi. Kā arī apbedīšanas biroju, apdrošinātāju un notāru biroju darbinieki uzskaitīti kā līdzvērtīgi ārstniecības personām, ņemot vērā to, ka nāves cēlonis satur arī veselības datus un šiem lietotājiem nav nepieciešami!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uzskaitījumā iekļaujot arī tiesu medicīnas ekspertu institūciju, kā arī skaidri nošķirt lietotājus, kas apstrādā datus par nāves faktu, no lietotājiem, kas apstrādā datus par nāves cēloni.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Iekļauta atbilstoši savstarpējā komunikācijā saskaņotajam apjomam ar Veselības ministrijas resoru.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- 16.09.2026.)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 4. punkts - apraksts vispārīgs un neaptver svarīgas nianses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ka sagatavošana tiks veikta vienotajā veselības nozares elektroniskajā informācijas sistēmā (E-veselība), savukārt SPKC informācijas sistēmā saņemšana, kodēšana, uzkrāšana un statistiskā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risinājumu ietvaru papildināt ar E-veselību, PMLP FPRIS, TM dzimtsarakstu informācijas sistēmu, SPKC nāves cēloņu datubāzi un TMEIS.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ietvert ka datu kvalitātes uzlabošana tiks panākta tieši ar strukturētu datu apriti apliecības sagatavošanā (nosacījums automatizētai kodēšanai un Eurostat/PVO atskaišu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Saistībā ar pārrobežu datu apmaiņu papildināt ar EVDT regulas (ES) 2025/327 datu turētāja pienākumiem attiecībā uz nāves cēloņu datu kopas sekundāro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Iekļauta atbilstoši savstarpējā komunikācijā saskaņotajam apjomam ar Veselības ministrijas resoru.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tiek ievēroti 1.3.1.1. pasākuma "IKT risinājumu un pakalpojumu attīstība un iespēju radīšana privātajam sektoram” noteiktie komercdarbības atbalstu izslēdzošie nosacījumi, lūdzam projekta pasē un anotācijā iekļaut izvērtējumu, kas pamato atbalsta sniegšanu valsts funkcijas veikšanai, kas nekvalificējas kā atbalsts saimnieciskai darbībai un komercdarbības atbalsts, proti, lūdzam projekta pasē un anotācijā, skaidrot, vai projekta ietvaros radītie IKT risinājumi ir/būs valsts pārvaldes iestādes vai tās padotības iestādes īpašumā un kādu tieši valsts pārvaldes uzdevuma izpildi finansējuma saņēmējs un sadarbības partneri projekta ietvaros īsteno, vai projektā izstrādātie vai uzlabotie informācijas un komunikācijas tehnoloģijas risinājumi nedod labumu atsevišķiem komersantiem un tādējādi tie negūst labumu / priekšrocības attiecībā pret citiem Eiropas Savienības komersantiem.  Vēršam uzmanību uz to, ka gadījumā, ja atbalsts (publisko līdzekļu piešķīrums) tiek sniegts, piemēram, valsts funkciju veikšanai, tas atbilstoši Komisijas paziņojuma par Līguma par Eiropas Savienības darbību 107. panta 1. punktā minēto valsts atbalsta jēdzienu (C/2016/2946) 17.punktā noteiktajam, nav uzskatāms par atbalstu saimnieciskai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projekta pasē un anotācijā skaidrot, vai IKT risinājumu izstrādes darbus veiks pakalpojuma sniedzējs, kas tika vai tiks atlasīts atklātā, pārredzamā, nediskriminējošā un konkurenci nodrošinošā procedūrā, lai izslēgtu komercdarbības atbalsta sniegšanu pakalpojuma sniedzēju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Pases 7. sadaļā pie “Cita informācija” un anotācijas 1.6. sadaļā iekļauta e-pasta sarakstē saskaņotā redakcija “Projekta īstenošanas ietvaros netiks sniegts komercdarbības atbalsts. Projekta iesniedzējs un sadarbības partneri projektā iesaistās, lai pildītu valsts pārvaldes uzdevumus. Iesaistīšanās mērķis nav saimnieciskās darbības veicināšana. Projektā pilnveidojamie un izstrādājamie IKT risinājumi būs projekta iesniedzēja un sadarbības partneru īpašumā un tie ir nepieciešami valsts pārvaldes uzdevumu pildīšanai. Projektā pilnveidojamie un izstrādājamie IKT risinājumi un dati tiks nodrošināti pēc vienādiem, pārredzamiem un nediskriminējošiem nosacījumiem un neradīs selektīvu priekšrocību atsevišķiem komersantiem. IKT risinājumu izstrādes darbus veiks pakalpojuma sniedzēji, kas tiks atlasīti atklātā, pārredzamā, nediskriminējošā un konkurenci nodrošinošā procedūrā.”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- 16.09.2026.)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risinājums skar veselības aprūpes jomas komponentes, tad tikai horizontālās jomas arhitektūra nav pietiekams ietvars.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norādi, ka komponentes funkcionālais un tehniskais risinājums saskaņojams ar Veselības ministriju un LDVC veselības aprūpes jomas arhitektūras pārvaldības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minētās arhitektūras kontekstu.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"Dzīves situāciju pakalpojumu pilnveidošana" viens no virzieniem paredz medicīniskās apliecības par nāves cēloni procesa digitalizāciju, kas atbilstoši anotācijas 1.3. apakšsadaļā skaidrotajam ietekmēs ārstniecības iestāžu, apbedīšanas un apdrošinātāju biroju darbu, lūdzam aizpildīt anotācijas 2.1. apakšsadaļu, aprakstot tiesību akta ietekmi uz konkrēto juridisko personu loku.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akta projekts neparedz informācijas sniegšanas prasības, administratīvā sloga aprēķins  anotācijas 2.4. sadaļā nav jāveic. Sniegtais apraksts attiecināms uz projekta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Izlabots. 2.4. sadaļā norādīts "Nē".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sadaļā veikt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rīkojuma projekts paredz apstiprināt projektu, kurš ir saistīts ar jau izveidoto valsts pārvaldes pakalpojumu portāla www.latvija.gov.lv  risinājumu un Valsts informācijas resursu, sistēmu un sadarbspējas informācijas sistēmu ( VIRSIS) pilnveidošanu, lūdzam papildināt 6.2.apakšpunktu ar informāciju par jau piešķirtajām uzturēšanas izmaksām, norādot arī atsauces uz tiesību aktiem, ar kuriem ir apstiprinātas norādītās sistēmu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ka projekta mērķis ir vairāku savstarpēji papildinošu valsts digitālo risinājumu pilnveidošana, kas kopumā uzlabos pakalpojumu pieejamību, lietotāju pieredzi un publiskās pārvaldes efektivitāti, kas nozīmē, ka projekta rezultātā netiek veidota jauna sistēma, bet pilnveidota esošā sistēma, lūdzam 6.2.apakšpunktā pēc būtības sniegt skaidrojumu, kāpēc pēc projekta pabeigšanas ir nosakāmas papildu uzturēšanas izmaksas; ja skaidrojumu nav iespējams sniegt, tad informācija par papildu uzturēšanas izmaksām ir svītrojama, tā vietā norādot, ka projekta rezultātu uzturēšana tiks nodrošināta jau no iepriekš VARAM piešķirtā finansējuma pakalpojumu portāla www.latvija.gov.lv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norādām, ka pabeigtu projektu rezultātu uzturēšanas izmaksās var iekļaut tādas izmaksas, kas saistītas ar projekta ietvaros radīto rezultātu uzturēšanu un nav paredzamas izmaksas, kas saistītas ar jaunas infrastruktūras izveidi vai tās pilnveidošanu, attiecīgi 6.2.apakšpunktā nepieciešams precizēt vai sniegt papildu skaidrojošu pamatojumu par plānoto uzturēšanas izmaksu pozīcijām “1.1. sistēmas kļūdu novēršana un pilnveidošana (pēcgarantijas uzturēšanas pakalpojumi atbilstoši nepieciešamībai)” un “1.2. sistēmas problēmu novēršana un pilnveidošana (profilaktiskās uzturēšanas pakalpojumi atbilstoši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jaunas amata vietas izveidošanu lūdzam pārskatīt un precizēt 7.punktā norādīto informāciju, ievērojot likuma “Par valsts budžetu 2026. gadam un budžeta ietvaru 2026., 2027. un 2028. gadam” 80.pantā noteikto, ka amata vietu skaitu nevar palielināt; vienlaikus norādām, ka minētajā jautājumā būtisks ir Valsts kancelejas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attiecībā uz nepieciešamo papildu finansējumu cilvēkresursiem, vēršam uzmanību, ka valsts budžeta finansiālās iespējas ir ierobežotas (atbilstoši aktualizētai informācijai par makroekonomisko un fiskālo rādītāju prognozēm indikatīvā fiskālā telpa vidējā termiņā, t.i., 2027.-2030. gadā, ir negatīva), turklāt Likumā par budžetu un finanšu vadību ir spēkā norma, kas paredz uzdevumu veikt izdevumu samazinājumu, kas nozīmē, ka turpmāko valsts budžeta likumprojektu sagatavošanā kā viena no prioritātēm ministrijām un citām centrālajām valsts iestādēm saglabājas nepieciešamība piedāvāt risinājumus izdevumu samazināšanai, vienlaikus nav pamata sagaidīt, ka, aktualizējot makroekonomisko un fiskālo rādītāju prognozes, fiskālās telpas apmērs tuvāko valsts budžeta likumprojektu sagatavošanai ievērojami uzlabosies, attiecīgi papildu finansējums jaunu pasākumu īstenošanai bez kompensējošiem pasākumiem, kas nepieciešami, lai primāri nodrošinātu atbilstību fiskālajiem nosacījumiem, sedzot negatīvo fiskālo telpu, nebūs pieejams; ņemot vērā minēto, finansējums cilvēkresursiem jānodrošina esošo budžeta līdzekļu ietvaros, piemēram, veicot izdevumu pārskatīšanu, attiecīgi lūdzam precizēt 7.punktā norādīto informāciju, kā arī punktā “Cita informācija” pēdējā teikumā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punktā “Cita informācija” pirmajā rindkopā svītrot vārdus “pievienotās vērtības nodokļa segšanai”, ievērojot, ka finansējuma avotu apmērs projekta īstenošanai ir noteikts nevis saistībā ar izmaksu būtību, bet ievērojot 1.3.1.1. pasākuma "IKT risinājumu un pakalpojumu attīstība un iespēju radīšana privātajam sektoram" īstenošanas noteikumos paredzēto, ka attiecināmām izmaksām ERAF finansējums ir 85 % un nacionālais finansējums ir 15 %.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aizpildīt 5.1.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3. sadaļas 6.2. apakšpunkts ar līdz šim piešķirtajām uzturēšanas izmaksām un avotiem, kā arī precizēts, ka papildu uzturēšanas izmaksas būs paredzētas jaunās projektā izstrādātās funkcionalitātes uzturēšanai, neradot dubultā finansējuma risku. Vienlaikus saglabāta atsauce, ka pieprasot papildus uzturēšanas izmaksas tiks izvērtēta iespēja vismaz daļēji segt esošā budžeta ietvaros, ņemot vērā paredzamo valsts budžeta deficītu.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tehnisko rezultātu uzturēšanas izmaksu pozīcijas 6.2. apakšpunktā aprakstītas tādā pašā veidā, kā, piemēram, https://tapportals.mk.gov.lv/annotation/f44fd5a0-eb59-44b3-8beb-c23a97872c56 , kas ir apstiprinātas šogad Ministru kabinetā. Arī tur ir norādīti šādi paši pozīciju nosaukumi. Tās neparedz jaunas infrastruktūras izveidi vai pilnveidošanu, kas būtu uzskatāma par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noņemtu Valsts kancelejas iebildumu par jauno amata vietu, rīkojuma 4. punktu esam svītrojuši. Atbilstoši anotācijā svītrota informācija 3. sadaļas 7. punktā un pie “Cita informācija”, kā arī labots aprēķins pases 6. sadaļā. Valsts kanceleja šos svītrojumus ir saskaņojusi. Pievienosim TAP portālā kā atkārtotu atzinumu.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sadaļā “Cita informācija” svītroti vārdi “pievienotās vērtības nodokļa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sadaļā aizpildīts 5.1.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26-TA-566</w:t>
    </w:r>
    <w:r>
      <w:br/>
    </w:r>
    <w:r w:rsidR="00000000" w:rsidRPr="00000000" w:rsidDel="00000000">
      <w:rPr>
        <w:rtl w:val="0"/>
      </w:rPr>
      <w:t xml:space="preserve">25.09.2026. 16.49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26-TA-566</w:t>
    </w:r>
    <w:r>
      <w:br/>
    </w:r>
    <w:r w:rsidR="00000000" w:rsidRPr="00000000" w:rsidDel="00000000">
      <w:rPr>
        <w:rtl w:val="0"/>
      </w:rPr>
      <w:t xml:space="preserve">25.09.2026. 16.49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Izziņa_26-TA-566.docx</dc:title>
</cp:coreProperties>
</file>

<file path=docProps/custom.xml><?xml version="1.0" encoding="utf-8"?>
<Properties xmlns="http://schemas.openxmlformats.org/officeDocument/2006/custom-properties" xmlns:vt="http://schemas.openxmlformats.org/officeDocument/2006/docPropsVTypes"/>
</file>