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24-TA-2956: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22. novembra noteikumos Nr. 740 "Eiropas Savienības Atveseļošanas un noturības mehānisma plāna 6. komponentes "Likuma vara" 6.3. reformu un investīciju virziena "Publiskās pārvaldes modernizācija" 6.3.1. reformas "Publiskās pārvaldes modernizācija" 6.3.1.4.i. investīcijas "Nevalstisko organizāciju izaugsme sociālās drošības pārstāvniecībā un sabiedrības interešu uzraudzībā"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(22.06.2024.)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1.3. sadaļu ar izvērtējumu par ierosināto grozījumu ietekmi uz finansējuma saņēmēju un īstenošanā esošajiem projektiem 1.projektu iesniegumu atlases ietvaros, vienlaikus skaidrojot, vai būs nepieciešami grozījumi noslēgtajos līgumos par investīciju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“Izvērtējot tiesību akta projektā ierosināto grozījumu ietekmi uz 1.projektu iesniegumu atlases kārtas finansējuma saņēmējiem un īstenošanā esošajiem projektiem, ir secināms, ka ietekmes nav un grozījumi jau noslēgtajos 1.kārtas līgumos par investīcijas projektu īstenošanu nav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1.3. sadaļā ietverto otro zemsvītras atsauci. 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 Attiecīgi lūdzam precizēt noteikumu projekta anotācijā atsauci uz Regulu 2018/1046, tās vietā norādot atsauci uz Regulu 2024/2509. Saskaņā ar Regulas 2024/2509 279. pantu atsauces uz atcelto Regulu 2018/1046 uzskata par atsaucēm uz Regulu 2024/2509, un tās lasa saskaņā ar atbilstības tabulu Regulas 2024/2509 II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lūdzam papildināt noteikumu projektu ar jaunu punktu, precizējot arī noteikumu 21.punktā ietverto atsauci uz Regulu 2018/1046, tās vietā norādot atsauci uz Regulu 2024/2509.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informāciju, ka 2024. gada 30. septembrī ir stājusies spēkā jaunā “Finanšu regula” – Eiropas Parlamenta un Padomes 2024. gada 23. septembra Regula (ES, Euratom) 2024/2509 par finanšu noteikumiem, ko piemēro Savienības vispārējam budžetam (pārstrādāta redakcija) un tā atceļ līdz šim spēkā esošo Regulu 2018/1046, līdz ar to ir nepieciešams precizēt MK noteikumos Nr. 740 iekļautās atsauces uz Regulu.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Turpat precizēta otrā zemsvītras atsauce: “[2] Regulas 2024/2509 138.pants “Izslēgšanas kritēriji un lēmumi par izslēgšanu”; https://eur-lex.europa.eu/eli/reg/2024/2509/oj/?locale=LV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 22. punktu, kurā precizēta MK noteikumu Nr. 740 21. punkta redakcija, iekļaujot tajā atsauci uz Regulu 2024/2509: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vērtēšanas komisija izvērtē projektu iesniedzējus atbilstoši Eiropas Parlamenta un Padomes 2024. gada 23. septembra Regulas (ES, Euratom) 2024/2509 par finanšu noteikumiem, ko piemēro Savienības vispārējam budžetam (pārstrādāta redakcija) 138. panta 1. punktā noteiktajiem izslēgšanas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1. kārtā atbalsta sniedzējs un finansējuma saņēmējs slēdz līgumu par projekta īstenošanu (turpmāk - līgums). Līgumā iekļauj vismaz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Atveseļošanas un noturības mehānisma ietvaros atbilstoši finansējuma saņēmēja juridiskajam statusam, tiek slēgti līgumi vai vienošanās par </w:t>
            </w:r>
            <w:r w:rsidR="00000000" w:rsidRPr="00000000" w:rsidDel="00000000">
              <w:rPr>
                <w:u w:val="single"/>
                <w:rtl w:val="0"/>
              </w:rPr>
              <w:t xml:space="preserve">investīciju projekta</w:t>
            </w:r>
            <w:r w:rsidR="00000000" w:rsidRPr="00000000" w:rsidDel="00000000">
              <w:rPr>
                <w:rtl w:val="0"/>
              </w:rPr>
              <w:t xml:space="preserve"> īstenošanu, tādējādi aicinām noteikumu projekta 24.punktā izteikto 29. punkta ievaddaļu izteikt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1. kārtā atbalsta sniedzējs un finansējuma saņēmējs slēdz līgumu par investīciju projekta īstenošanu (turpmāk - līgums). Līgumā iekļauj vismaz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precizēta 25. punktā piedāvātā 29.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1. kārtā atbalsta sniedzējs un finansējuma saņēmējs slēdz līgumu par investīcijas projekta īstenošanu (turpmāk - līgums). Līgumā iekļauj vismaz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2. kārtā Valsts kanceleja un finansējuma saņēmējs slēdz starpresoru vienošanos par projekta īstenošanu (turpmāk – līgums). Līgumā iekļauj vismaz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25.punkta izteiktajā 29.</w:t>
            </w:r>
            <w:r w:rsidR="00000000" w:rsidRPr="00000000" w:rsidDel="00000000">
              <w:rPr>
                <w:vertAlign w:val="superscript"/>
                <w:rtl w:val="0"/>
              </w:rPr>
              <w:t xml:space="preserve">1</w:t>
            </w:r>
            <w:r w:rsidR="00000000" w:rsidRPr="00000000" w:rsidDel="00000000">
              <w:rPr>
                <w:rtl w:val="0"/>
              </w:rPr>
              <w:t xml:space="preserve"> 2.apakšpunktā vārdus "starpresoru vienošanos" ar vārdiem "vienošanos par investīciju projekta īstenošanu", ņemot vērā, ka Eiropas Savienības Atveseļošanas un noturības mehānisma ietvaros atbilstoši  finansējuma saņēmēja juridiskajam statusam, tiek slēgti līgumi vai vienošanās par investīciju projekta īstenošanu, nevis starpresoru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citur noteikumu projektā tiek lietoti vārdi "starpresoru vienošanās", kā piemēram noteikumu projekta 22.punktā, tādējādi lūdzam precizēt un pārskatīt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precizēta 26. punktā piedāvātā 29.</w:t>
            </w:r>
            <w:r w:rsidR="00000000" w:rsidRPr="00000000" w:rsidDel="00000000">
              <w:rPr>
                <w:vertAlign w:val="superscript"/>
                <w:rtl w:val="0"/>
              </w:rPr>
              <w:t xml:space="preserve">1</w:t>
            </w:r>
            <w:r w:rsidR="00000000" w:rsidRPr="00000000" w:rsidDel="00000000">
              <w:rPr>
                <w:rtl w:val="0"/>
              </w:rPr>
              <w:t xml:space="preserve">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precizēta arī 23. punktā piedāvātā 27.</w:t>
            </w:r>
            <w:r w:rsidR="00000000" w:rsidRPr="00000000" w:rsidDel="00000000">
              <w:rPr>
                <w:vertAlign w:val="superscript"/>
                <w:rtl w:val="0"/>
              </w:rPr>
              <w:t xml:space="preserve">4</w:t>
            </w:r>
            <w:r w:rsidR="00000000" w:rsidRPr="00000000" w:rsidDel="00000000">
              <w:rPr>
                <w:rtl w:val="0"/>
              </w:rPr>
              <w:t xml:space="preserve">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4</w:t>
            </w:r>
            <w:r w:rsidR="00000000" w:rsidRPr="00000000" w:rsidDel="00000000">
              <w:rPr>
                <w:rtl w:val="0"/>
              </w:rPr>
              <w:t xml:space="preserve"> Ja projekta iesniedzējs projekta iesniegumu ir iesniedzis atbilstoši šiem noteikumiem vai precizējis atbilstoši Valsts kancelejas prasībām, Valsts kanceleja pieņem lēmumu apstiprināt projektu un slēgt vienošanos par investīcijas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2. kārtā Valsts kanceleja un finansējuma saņēmējs slēdz vienošanos par investīcijas projekta īstenošanu (turpmāk – līgums). Līgumā iekļauj vismaz šādu informāciju: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24-TA-2956</w:t>
    </w:r>
    <w:r>
      <w:br/>
    </w:r>
    <w:r w:rsidR="00000000" w:rsidRPr="00000000" w:rsidDel="00000000">
      <w:rPr>
        <w:rtl w:val="0"/>
      </w:rPr>
      <w:t xml:space="preserve">06.01.2025. 19.07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24-TA-2956</w:t>
    </w:r>
    <w:r>
      <w:br/>
    </w:r>
    <w:r w:rsidR="00000000" w:rsidRPr="00000000" w:rsidDel="00000000">
      <w:rPr>
        <w:rtl w:val="0"/>
      </w:rPr>
      <w:t xml:space="preserve">06.01.2025. 19.07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Izziņa_24-TA-2956.docx</dc:title>
</cp:coreProperties>
</file>

<file path=docProps/custom.xml><?xml version="1.0" encoding="utf-8"?>
<Properties xmlns="http://schemas.openxmlformats.org/officeDocument/2006/custom-properties" xmlns:vt="http://schemas.openxmlformats.org/officeDocument/2006/docPropsVTypes"/>
</file>