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24-TA-2687: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otrās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2021.–2027.gadam 2.1. Prioritātes “Klimata pārmaiņu mazināšana un pielāgošanās klimata pārmaiņām” 2.1.3. specifiskā atbalsta mērķa “Veicināt pielāgošanos klimata pārmaiņām, risku novēršanu un noturību pret katastrofām” 2.1.3.3. pasākuma “Katastrofu risku mazināšanas pasākumi” otrās projektu iesniegumu atlases kārtu (turpmāk – pasākuma otrā kārta);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iekšlietu nozarē identificētās aktuālās prioritātes un finansējuma vajadzības (piemēram, trūkstošo finansējumu katastrofu pārvaldības centru būvniecībai), par ko plānots diskutēt arī š.g. 22.janvārī plānotajā Eiropas Savienības fondu tematiskajā komitejā, lūdzam Iekšlietu ministriju turpināt noteikumu projekta tālāku virzību tikai pēc tam, kad attiecīgi būs izvērtētas nozares investīciju prioritātes un izrietoši Eiropas Savienības (turpmāk – ES) fondu investīciju stratēģija un tvērums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2021.–2027.gadam 2.1. Prioritātes “Klimata pārmaiņu mazināšana un pielāgošanās klimata pārmaiņām” 2.1.3. specifiskā atbalsta mērķa “Veicināt pielāgošanos klimata pārmaiņām, risku novēršanu un noturību pret katastrofām” 2.1.3.3. pasākuma “Katastrofu risku mazināšanas pasākumi” otrās projektu iesniegumu atlases kārtu (turpmāk – pasākuma otrā kārta);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otrās kārtas mērķis ir veicināt tehniskās kapacitātes celšanu un uzlabot kopējo reaģētspēju Valsts ugunsdzēsības un glābšanas dienestā, nodrošinot transportlīdzekļu iegādi.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pasākuma mērķi, atbilstoši Eiropas Savienības fondu kohēzijas politikas programmā 2021.-2027.gadam (turpmāk - Programma) noteiktajam. Vēršam uzmanību, ka Programmā noteikts, ka tiks iegādāti specializētie ugunsdzēsības un glābšanas transportlīdzekļi. Vienlaikus, nav viennozīmīgi skaidra plānoto transportlīdzekļu iegādes ietekme, pienesums uz Programmā noteikto mērķi Valsts ugunsdzēsības un glābšanas dienesta (turpmāk – VUGD) katastrofu pārvaldības tehniskās kapacitātes attīstībā un stiprināšanā, prevencijas pasākumu paplašināšanā, IKT risinājumu ieviešanā un kopējās reaģētspējas uzlabošanā. Tāpat, lai varētu gūt pārliecību par to, vai projekta ietvaros radītās vērtības tiek izmantotas saskaņā ar apstiprinātā projekta iesniegumā paredzētajiem mērķiem un paredzētajā apjomā – tie tiek izmantoti projektā paredzētajā vietā un projektā plānotās darbības veikšanai, lūdzam aprakstīt tieši kādas VUGD funkcijas tiks nodrošinātas ar šiem transportlīdzekļiem.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projekta iesniedzējam, sagatavojot projekta iesniegumu, projekta mērķis un projektā iekļautās darbības ir jāsasaista ar pasākuma mērķi, lūdzam nodrošināt pasākuma mērķa savstarpēju atbilstību starp anotāciju un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otrās kārtas mērķis ir veicināt tehniskās kapacitātes celšanu un uzlabot kopējo reaģētspēju Valsts ugunsdzēsības un glābšanas dienestā, nodrošinot specializēto ugunsdzēsības un glābšanas transportlīdzekļu, pārvietojamu konteineru un aprīkojumu iegādi.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Valsts ugunsdzēsības un glābšanas dienesta darbības nodrošināšanai nepieciešamo līdz 30 jaunu M1 kategorijas transportlīdzekļu iegāde un to aprīkošana;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noteikumu projekts neparedz izmaksu ierobežojumus viena transportlīdzekļa iegādei, lūdzam noteikumu projektā norādīt konkrētu projekta ietvaros iegādājamo transportlīdzekļu skaitu, tādējādi nodrošinot, ka projekta īstenošanas rezultātā tiks iegādāts tāds transportlīdzekļu sastāvs un skaits, kas veicina pasākuma mērķa sasniegšanu, kā arī vienlaikus nodrošinās, ka tiek sasniegti pasākuma ietvaros noteiktie rādītāji. Vēršam uzmanību, ka, iegādājoties mazāku transportlīdzekļu skaitu (mazāk kā 30), pastāv augsts risks nesasniegt noteikumu projekta 7.2.apakšpunktā noteikto rādītāju. Lai nodrošinātu pasākuma ietvaros plānotā rezultāta rādītāja sasniegšanu, aicinām papildināt noteikumu projektu, norādot paredzēto transportlīdzekļu siltumnīcefekta gāzu maksimāli pieļaujamās emisijas gramos CO2/km.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projekta 13.1. apakšpunktu vai izveidot jaunu apakšpunktu, norādot konkrēti kāda tipa dzinējam ir jābūt plānotajiem transportlīdzekļiem  - bezemisiju transportlīdzekļu vai hibrīdtransportlīdzekļu ar piekabi 750+kg. Vēršam uzmanību, ka no anotācijā sniegtās informācijas nav viennozīmīgi uztverams kādi transportlīdzekļi tiek plānoti. Papildus, ja tiek izvēlēti hibrīdtransportlīdzekļi ar piekabi 750+kg, lūdzam papildināt anotāciju izklāstu, skaidrojot vai VUGD autoparkā jau ir pieejamas šīs piekabes vai tās tiks iegādātas projekta ietvaros vai par kādiem citiem finanšu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projekta ietvaros tiek iegādāti ES prasībām atbilstoši transportlīdzekļi, kā arī novērstu neatbilstoši veiktu izdevumu risku lūdzam papildināt anotāciju ar informāciju kā tiks pārbaudīta plānoto transportlīdzekļu atbilstība ES Regulu prasībām, ņemot vērā, ka nav plānota specializēto transportlīdzekļu iegāde uz ko attiecas Eiropas Parlamenta un Padomes 2021. gada 24. jūnija Regulas (ES) 2021/1058 par Eiropas Reģionālās attīstības fondu un Kohēzijas fondu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Projekta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prasībām horizontālā principa “Nenodarīt būtisku kaitējumu” ievērošanai, ņemot vērā, ka pasākuma ietvaros plānoto rādītāju sasniegšana, piemēram, attiecībā uz CO2 samazinājumu iespējama tikai tad, ja projekta ietvaros plānota veco ekspluatācijā esošo transportlīdzekļu utilizācija. (skatīt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projektu ar nosacījumiem par to, kāda informācija iesniedzama sadarbības iestādei par projekta ietvaros aizstāto ar fosilās izcelsmes degvielu darbināmo transportlīdzekļu skaitu, kurus pārtrauc ekspluatēt, un nosacījumus/iesniedzamos dokumentus, kas apliecina 7.2.apakšpunktā minētā rādītāja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ievēro principu "Nenodarīt būtisku kaitējumu", kas atbilst Eiropas Parlamenta un Padomes 2020. gada 18. jūnija Regulas (ES) 2020/852 par regulējuma izveidi ilgtspējīgu ieguldījumu veicināšanai un ar ko groza regulu (ES) 2019/2088, 18. pantam un normatīvajiem aktiem vides jomā, tai skaitā:1) projekta iesniegumam ir pievienots apliecinājums, ka pēc transportlīdzekļa ekspluatācijas (gan attiecībā uz ekspluatācijā un darba kārtībā esošajām aizstājamajām transportlīdzekļu vienībām, gan uz bezemisiju transportlīdzekļiem) tas tiks utilizēts atbilstoši normatīvajiem aktiem nolietotu transportlīdzekļu apsaimniekošanas jomā, paredzot, ka tas tiks nodots apstrādes uzņēmumam, kas nodrošina nolietotu transportlīdzekļu pārstrādi un atkārtoti izmantojamo detaļu un materiālu atguvi un atgriešanu tautsaimniecībā.  2) finansējuma saņēmējs nodrošina, ka, līdz noslēguma maksājuma pieprasījuma iesniegšanai, sadarbības iestādē tiks iesniegts nolietotu transportlīdzekļu apstrādes uzņēmuma izsniegts likvidācijas sertifikāts par likvidācijai nodotu un pieņemtu M1 kategorijas transportlīdzekli.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Projekta īstenošanas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tekstu "Likumprojekta “Par valsts budžetu 2023. gadam un budžeta ietvaru 2023., 2024. un 2025. gadam” sagatavošanas procesā Ministru kabineta 2023. gada 13. janvāra sēdē (prot. Nr.2, 1.§) atbalstīts finansējums ārpus fiskālās telpas plānotajam ar valsts drošību saistītajam prioritārajam pasākumam "Speciālo ugunsdzēsības un glābšanas transportlīdzekļu iegāde" 2023. – 2025. gadam 166 305 109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piesaiste speciālo ugunsdzēsības un glābšanas transportlīdzekļu, pārvietojamu konteineru un aprīkojuma iegādei ir nodrošināta no budžeta resora “74. Gadskārtējā valsts budžeta izpildes procesā pārdalāmais finansējums” programmas 18.00.00 “Finansējums valsts drošības stiprināšanas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finansējuma piesaisti no budžeta resora “74. Gadskārtējā valsts budžeta izpildes procesā pārdalāmais finansējums” programmas 18.00.00 “Finansējums valsts drošības stiprināšanas pasākumiem”, ir sagatavoti un normatīvajos aktos noteiktajā kārtībā virzīti izskatīšanai Ministru kabineta sēdē attiecīgie Ministru kabineta rīkojuma projekti atbilstoši faktiski nepieciešamā finansējuma apmēram, ievērojot iepirkuma procedūru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no budžeta resora “74. Gadskārtējā valsts budžeta izpildes procesā pārdalāmais finansējums” programmas 18.00.00 “Finansējums valsts drošības stiprināšanas pasākumiem”  102 884 000 euro apmērā, kas piešķirts ārpus fiskālās telpas plānotajam ar valsts drošību saistītajam prioritārajam pasākumam "Speciālo ugunsdzēsības un glābšanas transportlīdzekļu iegāde" īstenošanai, tiek novirzīts deklarēšanai Eiropas Komisijai Eiropas kohēzijas politikas programmas 2021. - 2027. gada 2.1.3.3. pasākuma “Katastrofu risku mazināšanas pasākumi” otrās projektu iesniegumu atlases kārtas īstenošanas noteikumi" ietvaros." precizēt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“Par valsts budžetu 2023. gadam un budžeta ietvaru 2023., 2024. un 2025. gadam” sagatavošanas procesā Ministru kabineta 2023. gada 13. janvāra sēdē (prot. Nr.2, 1.§) atbalstīts ārpus fiskālās telpas finansējums ar valsts drošību saistītajam prioritārajam pasākumam "Speciālo ugunsdzēsības un glābšanas transportlīdzekļu iegāde" 2023. – 2025. gadam 166 305 109 euro apmērā, atzīstot šos izdevumus par vienreizējiem pasākumiem likuma "Par valsts budžetu 2023. gadam un budžeta ietvaru 2023., 2024. un 2025. gadam" 5. panta 3. punkta un likuma "Par valsts budžetu 2024. gadam un budžeta ietvaru 2024., 2025. un 2026. gadam" 5. panta 3.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piesaiste speciālo ugunsdzēsības un glābšanas transportlīdzekļu, pārvietojamu konteineru un aprīkojuma iegādei ir nodrošināta no budžeta resora “74. Gadskārtējā valsts budžeta izpildes procesā pārdalāmais finansējums” programmas 18.00.00 “Finansējums valsts drošības stiprināšanas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finansējuma piesaisti no budžeta resora “74. Gadskārtējā valsts budžeta izpildes procesā pārdalāmais finansējums” programmas 18.00.00 “Finansējums valsts drošības stiprināšanas pasākumiem”, ir sagatavoti un normatīvajos aktos noteiktajā kārtībā virzīti izskatīšanai Ministru kabineta sēdē attiecīgie Ministru kabineta rīkojuma projekti atbilstoši faktiski nepieciešamā finansējuma apmēram, ievērojot iepirkuma procedūru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no budžeta resora “74. Gadskārtējā valsts budžeta izpildes procesā pārdalāmais finansējums” programmas 18.00.00 “Finansējums valsts drošības stiprināšanas pasākumiem”  102 884 000 euro apmērā, kas piešķirts ar valsts drošību saistītajam prioritārajam pasākumam "Speciālo ugunsdzēsības un glābšanas transportlīdzekļu iegāde" īstenošanai, tiek novirzīts deklarēšanai Eiropas Komisijai Eiropas kohēzijas politikas programmas 2021. - 2027. gada 2.1.3.3. pasākuma “Katastrofu risku mazināšanas pasākumi” otrās projektu iesniegumu atlases kārtas īstenošanas noteikumi" ietvaros, attiecīgi vairs nav pamatoti attiecīgos izdevumus atzīt par vienreizējiem pasākumiem un izslēgt no vispārējās valdības budžeta strukturālās bilances mērķa.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iegādātās jaunās tehnikas vienības aizstās Valsts ugunsdzēsības un glābšanas dienesta (turpmāk – VUGD) nolietoto autoparku, jauno tehnikas vienību uzturēšanai primāri ir jāizvērtē iespējas novirzīt Iekšlietu ministrijas (turpmāk  - IeM) (VUGD) budžetā šobrīd esošā autoparka, kuru plānots aizstāt ar jaunajiem transportlīdzekļiem, uzturēšanai paredzētais finansējums, līdz ar to lūdzam atbilstoši precizēt noteikumu projekta anotācijā sniegto informāciju par uzturēšanas izdevumiem, norādot, ka primāri iegādāto VUGD transportlīdzekļu uzturēšanai no 2026. gada tiks novirzīts IeM budžetā šobrīd esošā autoparka, kuru plānots aizstāt ar jaunajiem transportlīdzekļiem, uzturēšanai paredzētais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3. sadaļas 6. punktā norādīto ar valsts drošību saistītajam prioritārajam pasākumam "Speciālo ugunsdzēsības un glābšanas transportlīdzekļu iegāde" IeM budžeta programmā 07.00.00  "Ugunsdrošība, glābšana un civilā aizsardzība" 2025. gadā saskaņā ar likumu "Par valsts budžetu 2025. gadam un budžeta ietvaru 2025., 2026. un 2027. gadam" (turpmāks - likums) plānoto finansējuma apmēru, atbilstoši  precizējot noteikumu projekta anotācijas 3.sadaļas tabulā 2025. gadu, kurā saskaņā ar likumu plānotais finansējuma apmērs ir norādāms ailē "saskaņā ar valsts budžetu kārtējam gadam" 1., 1.1., 2. un 2.1. punktos, savukārt ailes "izmaiņas kārtējā gadā, salīdzinot ar valsts budžetu kārtējam gadam" 2., 2.1.. 3., 3.1. un 4. punktos ir iekļaujams 2025.gadā no budžeta resora "74. Gadskārtējā valsts budžeta izpildes procesā pārdalāmais finansējums" programmas 18.00.00 "Finansējums valsts drošības stiprināšanas pasākumiem" pārdalītais finansējums, vienlaikus lūdzam pārskatīt anotācijas 3. sadaļas 6. punktā norādīto ar valsts drošību saistītā prioritārā pasākuma "Speciālo ugunsdzēsības un glābšanas transportlīdzekļu iegāde" finansējuma 2025. gada kopsummu un atbilstoši Ministru kabineta lēmumiem norādītās veiktās pārdales 2025. gadam, ņemot vērā, ka veidojas matemātiska neatbilstība.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norādīt kopējo prioritārajam pasākumam plānoto finansējumu sadalījumā pa gadiem (nevis tikai 2025.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- 16.01.2025.)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2.1.3.3.pasākuma otrās kārtas specifiku (atbalstāmās darbības un izmaksas ir izteikti tehniskas un nav vērstas uz cilvēkresursu attīstību), var uzskatīt, ka pasākumam nav ietekmes uz horizontālo principu “Vienlīdzība, iekļaušana, nediskriminācija un pamattiesību ievērošana” (turpmāk - HP VINPI).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Labklājības ministrijas 31.08.2023.iebildumu par 2.1.3.3.pasākuma otrās kārtas MK Noteikumu projektu un anotāciju  (TAP Nr. 23-TA-1151), aicinām papildināt anotācijas 8.2.apakšsadaļu ar informāciju saistībā ar HP VINPI atbilstoši HP vadlīniju [1]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horizontālā principa “Vienlīdzība, iekļaušana, nediskriminācija un pamattiesību ievērošana” īstenošanai un uzraudzībai (2021-2027) (turpmāk - HP VINPI), pasākumam nav ietekmes uz HP VINPI. Vienlaikus, lai  nodrošinātu, ka projektu īstenošanā tiek veicināta vienlīdzība, iekļaušana, nediskriminācija un  ievērotas  pamattiesības, projektu iesniegumu vērtēšanā tiks piemērots HP VINPI specifiskais atbilstības kritērijs. Kritērijā tiks vērtēts, vai projekta iesniegumā ir paredzēta vismaz viena vispārīgā HP VINPI darbība, kas attiecas uz publicitāti, personālu vai publiskajiem iepirkumiem. Kritēriju var nepiemērot projektos, kuru satura dēļ nav iespējams īstenot nevienu HP VINPI darbību, jo netiek īstenota publicitāte un iepirkumi un netiek piesaistīts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piedāvāto risinājumu attiecībā  uz valsts budžeta finansējuma 102 884 000 </w:t>
            </w:r>
            <w:r w:rsidR="00000000" w:rsidRPr="00000000" w:rsidDel="00000000">
              <w:rPr>
                <w:i w:val="1"/>
                <w:rtl w:val="0"/>
              </w:rPr>
              <w:t xml:space="preserve">euro </w:t>
            </w:r>
            <w:r w:rsidR="00000000" w:rsidRPr="00000000" w:rsidDel="00000000">
              <w:rPr>
                <w:rtl w:val="0"/>
              </w:rPr>
              <w:t xml:space="preserve">apmērā, kas piešķirts no budžeta resora "74. Gadskārtējā valsts budžeta izpildes procesā pārdalāmais finansējums" programmas 18.00.00 "Finansējums valsts drošības stiprināšanas pasākumiem"  ārpus fiskālās telpas plānotajam ar valsts drošību saistītajam prioritārajam pasākumam "Speciālo ugunsdzēsības un glābšanas transportlīdzekļu iegāde" (turpmāk - 18.programma) īstenošanai, deklarēšanai Eiropas Komisijai Eiropas kohēzijas politikas programmas 2021. - 2027. gada 2.1.3.3. pasākuma “Katastrofu risku mazināšanas pasākumi” otrās projektu iesniegumu atlases kārtas īstenošanas noteikumi"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Ministru kabineta sēdes protokollēmuma projekta 3.punktu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piedāvāto risinājumu attiecībā  uz valsts budžeta finansējuma 102 884 000 euro apmērā, kas piešķirts no budžeta resora "74. Gadskārtējā valsts budžeta izpildes procesā pārdalāmais finansējums" programmas 18.00.00 "Finansējums valsts drošības stiprināšanas pasākumiem"  (turpmāk - 18.programma)  ar valsts drošību saistītajam prioritārajam pasākumam "Speciālo ugunsdzēsības un glābšanas transportlīdzekļu iegāde" īstenošanai, deklarēšanai Eiropas Komisijai Eiropas Savienības kohēzijas politikas programmas 2021. - 2027. gadam 2.1.3.3. pasākuma “Katastrofu risku mazināšanas pasākumi” otrās projektu iesniegumu atlases kārtas ietvaros, vienlaicīgi atbalstot, ka attiecīgie izdevumi vairs netiek atzīti par vienreizējo pasākumu un netiek izslēgti no  vispārējās valdības budžeta strukturālās bilances mērķa.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piedāvāto risinājumu attiecībā  uz valsts budžeta finansējuma 102 881 742 </w:t>
            </w:r>
            <w:r w:rsidR="00000000" w:rsidRPr="00000000" w:rsidDel="00000000">
              <w:rPr>
                <w:i w:val="1"/>
                <w:rtl w:val="0"/>
              </w:rPr>
              <w:t xml:space="preserve">euro </w:t>
            </w:r>
            <w:r w:rsidR="00000000" w:rsidRPr="00000000" w:rsidDel="00000000">
              <w:rPr>
                <w:rtl w:val="0"/>
              </w:rPr>
              <w:t xml:space="preserve">apmērā, kas piešķirts no budžeta resora "74. Gadskārtējā valsts budžeta izpildes procesā pārdalāmais finansējums" programmas 18.00.00 "Finansējums valsts drošības stiprināšanas pasākumiem"  (turpmāk - 18. programma)  ar valsts drošību saistītajam prioritārajam pasākumam "Speciālo ugunsdzēsības un glābšanas transportlīdzekļu iegāde" īstenošanai, deklarēšanai Eiropas Komisijai Eiropas Savienības kohēzijas politikas programmas 2021. - 2027. gadam 2.1.3.3. pasākuma “Katastrofu risku mazināšanas pasākumi” otrās projektu iesniegumu atlases kārtas ietvaros, vienlaicīgi atbalstot, ka attiecīgie izdevumi vairs netiek atzīti par vienreizējo pasākumu un netiek izslēgti no  vispārējās valdības budžeta strukturālās bilances mērķa, un nosakot, ka finansējums 102 881 742 </w:t>
            </w:r>
            <w:r w:rsidR="00000000" w:rsidRPr="00000000" w:rsidDel="00000000">
              <w:rPr>
                <w:i w:val="1"/>
                <w:rtl w:val="0"/>
              </w:rPr>
              <w:t xml:space="preserve">euro </w:t>
            </w:r>
            <w:r w:rsidR="00000000" w:rsidRPr="00000000" w:rsidDel="00000000">
              <w:rPr>
                <w:rtl w:val="0"/>
              </w:rPr>
              <w:t xml:space="preserve">apmērā ir uzskatāms par izmantotu, ņemot vērā tā piešķiršanas mērķi un vienreizējo raksturu,  un attiecīgi nav izmantojams citu pasākumu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Latvijas iedzīvotāji, Iekšlietu ministrija, Valsts ugunsdzēsības un glābšanas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3. punktā noteikto mērķa grupu “Iekšlietu ministrija” un "Latvijas iedzīvotāji", vēršam uzmanību ka šīs mērķa grupas nav tieši saistītas ar projekta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Latvijas iedzīvotāji, Iekšlietu ministrija, Valsts ugunsdzēsības un glābšanas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rezultāta rādītājs, kas jāsasniedz līdz 2029. gada 31. decembrim: aplēstās siltumnīcefekta gāzu emisijas samazinās no 58,3 CO2 tonnām, saskaņā ar 2023. gada datiem, līdz 38,7 CO2 tonnām 2029.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sadarbības iestāde var apstiprināt tikai tādu projektu, kas sasniedz pasākumā plānotos mērķus, kā arī pasākuma 2. kārtai nav plānoti specifiskie projektu iesniegumu atlases kritēriji, sadarbības iestādei nepieciešams pārliecināties, ka plānotie sagaidāmie rezultāti ir skaidri definēti, pamatoti un izmērāmi. Aicinām anotāciju papildināt ar izvērstu noteikto rādītāju aprēķinu pamatojoties uz  "Siltumnīcefekta gāzu (SEG) emisiju kalkulators" (https://klimatam.lv/iespejas/seg-aprekinasana/aptuvenam-novert-privatp/transports/?sel=3#result.) vai noteikumu projektā precizēt norādītās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otrās kārtas plānotais un pieejamais kopējais attiecināmais finansējums ir 2 588 300 euro, tai skaitā Eiropas Reģionālās attīstības fonda finansējums – 2 200 055 euro un valsts budžeta līdzfinansējums –   388 245 euro, nodrošinot, ka Eiropas Reģionālās attīstības fonda atbalsta intensitāte nepārsniedz 85 procentus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8. punktā teikuma daļu "nodrošinot, ka Eiropas Reģionālās attīstības fonda atbalsta intensitāte nepārsniedz 85 procentus no projekta kopējā attiecināmā finansējuma." ņemot vērā, ka tā dublē noteikumu projekta 9.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otrajai kārtai pieejamais kopējais attiecināmais finansējums ir 102 881 742 </w:t>
            </w:r>
            <w:r w:rsidR="00000000" w:rsidRPr="00000000" w:rsidDel="00000000">
              <w:rPr>
                <w:i w:val="1"/>
                <w:rtl w:val="0"/>
              </w:rPr>
              <w:t xml:space="preserve">euro</w:t>
            </w:r>
            <w:r w:rsidR="00000000" w:rsidRPr="00000000" w:rsidDel="00000000">
              <w:rPr>
                <w:rtl w:val="0"/>
              </w:rPr>
              <w:t xml:space="preserve">, tai skaitā valsts budžets, kas pārsniedz pasākuma otrajai kārtai pieejamo Eiropas Reģionālā attīstības fonda finansējumu 87  449 480 </w:t>
            </w:r>
            <w:r w:rsidR="00000000" w:rsidRPr="00000000" w:rsidDel="00000000">
              <w:rPr>
                <w:i w:val="1"/>
                <w:rtl w:val="0"/>
              </w:rPr>
              <w:t xml:space="preserve">euro </w:t>
            </w:r>
            <w:r w:rsidR="00000000" w:rsidRPr="00000000" w:rsidDel="00000000">
              <w:rPr>
                <w:rtl w:val="0"/>
              </w:rPr>
              <w:t xml:space="preserve">un valsts budžeta līdzfinansējums 15  432 262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iesniedzējs, kas pēc projekta apstiprināšanas ir finansējuma saņēmējs (turpmāk – finansējuma saņēmējs), sagatavo projekta iesniegumu atbilstoši projektu iesniegumu atlases nolikumā noteiktajām prasībām, pievienojot projektam veikto izmaksu un ieguvumu analīzi, un iesniedz to sadarbības iestādē, izmantojot Kohēzijas politikas fondu vadības informācijas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izmaksu un ieguvumu analīzi veikt anotācijas ietvaros, ņemot vērā to, ka šajā atlases kārtā paredzēts viens projekta iesniegums. Tas palīdzēs ietaupīt administratīvos resursus gan projekta iesniedzējam, gan arī sadarbības iestādei. Kā piemēru var izmantot citas izmaksu un ieguvumu analīzes, kas jau izstrādātas 2.1.3.3. pasākuma “Katastrofu risku mazināšanas pasākumi” ietvaros. Aicinām sazināties ar sadarbības iestādes ekspertiem, kas konsultēs par izmaksu un ieguvumu analīzes izstrādi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un ieguvumu analīze tiks pievienota projekta iesniegumam.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Projekta iesniedzējs, kas pēc projekta iesnieguma apstiprināšanas ir finansējuma saņēmējs (turpmāk – finansējuma saņēmējs), sagatavo projekta iesniegumu atbilstoši projektu iesniegumu atlases nolikumā noteiktajām prasībām, pievienojot projektam veikto izmaksu un ieguvumu analīzi, un iesniedz tos sadarbības iestādē, izmantojot Kohēzijas politikas fondu vadības informācijas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attiecināmās izmaksas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pēc nepieciešamības paredzēt izmaksas projekta vadības nodrošināšanai, piemēram, piemērojot vienkāršoto izmaksu principus.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tiešās attiecināmās izmaksas ietver specializēto ugunsdzēsības un glābšanas transportlīdzekļu, pārvietojamu konteineru un aprīkojuma iegādes izmaksas, transportlīdzekļu pirmreizējās reģistrācijas, reģistrācijas kā operatīvos transportlīdzekļus un reģistrācijas par bīstamo iekārtu izmaksas, piegādes izmaksas, pirmreizējās civiltiesiskās atbildības obligātās apdrošināšanas izmaksas, transportlīdzekļu pirmreizējās tehniskās apskates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izmaksu attiecināmība iestājas no projekta iesnieguma apstiprināšanas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fondu investīciju ieviešanas paātrināšanai, lūdzam pārskatīt izmaksu attiecināmības nosacījumu, paredzot izmaksu attiecināmību no noteikumu spēkā stāšanās brīža vai projekta iesnieguma iesniegšanas brīža. Vienlaikus vēršam uzmanību, ka ja projekta izmaksas paredzēts attiecināt no noteikumu spēkā stāšanās dienas vai pirms tam, un tā kā finansējuma saņēmējs ir valsts budžeta iestāde, anotācijā ir jāsniedz pamatojums un noteikumu projektam ir jāpievieno Ministru kabineta sēdes protokollēmuma projekts, kas nosaka finanšu plūsmas pirms projekta apstiprināšanas nodrošināšanas nosacījumus, kā arī atbildīgās iestādes pienākumus un atbildību gadījumos, ja pirms projekta apstiprināšanas radušās izmaksas nav attiecināmas no Eiropas Savienības fondu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izmaksu attiecināmība iestājas no 2023. gada 24. maija.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Finansējuma saņēmējs projekta īstenošanai nepieciešamo preču un pakalpojumu iepirkumus veic saskaņā ar normatīvajiem aktiem publisko iepirkumu jomā, īstenojot atklātu, pārredzamu, nediskriminējošu un konkurenci nodrošinošu iepirkuma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- 16.01.2025.)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punktu ar informāciju, ka  publiskie iepirkumi, kur tas ir attiecināms un atbilst ieguldījumu saturam, tiks veikti sociāli atbildīgā veidā, atbilstoši anotācijas 8.2. punktā minētajai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Finansējuma saņēmējs projekta īstenošanai nepieciešamo preču un pakalpojumu iepirkumus veic saskaņā ar normatīvajiem aktiem publisko iepirkumu jomā, īstenojot atklātu, pārredzamu, nediskriminējošu un konkurenci nodrošinošu iepirkuma procedūru, publiskie iepirkumi, kur tas ir attiecināms un atbilst ieguldījumu saturam,  tiks veikti sociāli atbildīgā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iesniedzējam ir pienākums pirms pasākuma otrās projektu iesniegumu atlases kārtas izsludināšanas izstrādāt nosacījumus, kas paredz kārtību, kādā tiks nodrošināta interešu konflikta neesība, identificēti apstākļi, kuri izraisa vai var izraisīt interešu konfliktu vai kas rada jebkāda veida apdraudējumu vai kaitējumu projekta īstenošanai, noteikti veicamie pasākumi un izstrādāti darbības plāni preventīvai novēršanai un gadījumiem, kad interešu konflikts, krāpšana, korupcija vai apdraudējums ir atklāts.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Finansējuma saņēmējs projekta īstenošanai nepieciešamo preču un pakalpojumu iepirkumus veic saskaņā ar normatīvajiem aktiem publisko iepirkumu jomā, īstenojot atklātu, pārredzamu, nediskriminējošu un konkurenci nodrošinošu iepirkuma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vieglo pasažieru automobiļu un vieglo komerctransporta automobiļu piegādei obligāti piemērojams zaļais publiskais iepirkums atbilstoši MK noteikumiem "Prasības zaļajam publiskajam iepirkumam un to piemērošanas kārtība", lai projekta iesniedzējam ir zināmi visi pasākuma īstenošanas nosacījumi, lūdzam papildināt šo punktu vai papildināt noteikumu projektu ar jaunu punktu, paredzot, ka pasākuma ietvaros piemēro zaļā publiskā iepirkuma principus.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iesniedzējam ir pienākums pirms pasākuma otrās projektu iesniegumu atlases kārtas izsludināšanas izstrādāt nosacījumus, kas paredz kārtību, kādā tiks nodrošināta interešu konflikta neesība, identificēti apstākļi, kuri izraisa vai var izraisīt interešu konfliktu vai kas rada jebkāda veida apdraudējumu vai kaitējumu projekta īstenošanai, noteikti veicamie pasākumi un izstrādāti darbības plāni preventīvai novēršanai un gadījumiem, kad interešu konflikts, krāpšana, korupcija vai apdraudējums ir atklāts.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paraksta interešu konflikta neesamības apliecinājumu,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un normatīvo aktu publisko iepirkumu jomā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tā kā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 Attiecīgi lūdzam noteikumu projekta 22. punktā precizēt regulas atsauci, norādot atsauci uz Regulu 2024/2509. Saskaņā ar Regulas 2024/2509 279. pantu atsauces uz atcelto Regulu 2018/1046 uzskata par atsaucēm uz Regulu 2024/2509, un tās lasa saskaņā ar atbilstības tabulu Regulas 2024/2509 II pielikumā. Vienlaikus 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paraksta interešu konflikta neesamības apliecinājumu, saskaņā ar </w:t>
            </w:r>
            <w:r w:rsidR="00000000" w:rsidRPr="00000000" w:rsidDel="00000000">
              <w:rPr>
                <w:u w:val="single"/>
                <w:rtl w:val="0"/>
              </w:rPr>
              <w:t xml:space="preserve">Eiropas Parlamenta un Padomes 2024. gada 23. septembra Regulas (ES, Euratom) 2024/2509 par finanšu noteikumiem, ko piemēro Savienības vispārējam budžetam (pārstrādāta redakcija)</w:t>
            </w:r>
            <w:r w:rsidR="00000000" w:rsidRPr="00000000" w:rsidDel="00000000">
              <w:rPr>
                <w:rtl w:val="0"/>
              </w:rPr>
              <w:t xml:space="preserve">, 61. panta un normatīvo aktu publisko iepirkumu jomā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ietvaros netiek atbalstītas projekta darbības, kurām atbalsts ir kvalificējams kā komercdarbības atbalsts. Lai atbalsts specializētajiem ugunsdzēsības un glābšanas transportlīdzekļiem, pārvietojamiem konteineriem vai aprīkojuma vienībām netiktu kvalificēts kā komercdarbības atbalsts, ar specializētajiem ugunsdzēsības un glābšanas transportlīdzekļiem, pārvietojamiem konteineriem vai aprīkojuma vienībām, kurus izmanto Valsts ugunsdzēsības un glābšanas dienesta vajadzībām, pamatlīdzekļu un ilgtermiņa ieguldījumu amortizācijas periodā ir pieļaujams veikt papildinošu saimniecisko darbību ne vairāk kā 20 procentu apmērā no specializēto ugunsdzēsības un glābšanas transportlīdzekļu, pārvietojamo konteineru vai aprīkojuma vienību gada jaudas platības, laika vai finanšu izteiksmē un ir pieļaujams sniegt papildpakalpojumus, ievērojot,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platības izteiksme nebūtu dzēšama gan no šī, gan 24., 25.punkta un anotācijas skaidrojumiem, jo projektā ir plānota tikai transportlīdzekļu un aprīkojuma iegāde.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ietvaros netiek atbalstītas projekta darbības, kurām atbalsts ir kvalificējams kā komercdarbības atbalsts. Lai atbalsts specializētajiem ugunsdzēsības un glābšanas transportlīdzekļiem, pārvietojamiem konteineriem vai aprīkojuma vienībām netiktu kvalificēts kā komercdarbības atbalsts, ar specializētajiem ugunsdzēsības un glābšanas transportlīdzekļiem, pārvietojamiem konteineriem vai aprīkojuma vienībām, kurus izmanto Valsts ugunsdzēsības un glābšanas dienesta vajadzībām, pamatlīdzekļu un ilgtermiņa ieguldījumu amortizācijas periodā ir pieļaujams veikt papildinošu saimniecisko darbību ne vairāk kā 20 procentu apmērā no specializēto ugunsdzēsības un glābšanas transportlīdzekļu, pārvietojamo konteineru vai aprīkojuma vienību gada jaudas laika vai finanšu izteiksmē un ir pieļaujams sniegt papildpakalpojumus, ievērojot, 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iestāde nodrošina veikto investīciju atbilstības uzraudzību atbilstoši šo noteikumu 23. un 24. punktā minētajiem nosacījumiem visā projekta dzīves ciklā. Finansējuma saņēmējs visā projekta dzīves ciklā katru gadu sagatavo pārskatu par papildinošas saimnieciskās darbības apjomu un nodrošina šajā punktā minēto pārskatu un aprēķinus pamatojošo dokumentu pieejamību papildinošas saimnieciskās darbības uzraudzībai un iesniedz to sadarbības iestādē pēc sadarbības iestādes pieprasījuma. Ja finansējuma saņēmējs konstatē, ka ir pārsniegts šo noteikumu 23. punktā minētais 20 procentu ierobežojums no specializēto ugunsdzēsības un glābšanas transportlīdzekļu, pārvietojamo konteineru vai aprīkojuma vienību gada jaudas platības, laika vai finanšu izteiksmē vai ka veiktās investīcijas tiek izmantotas citai saimnieciskai darbībai, kas nav uzskatāma par papildinošu saimniecisku darbību, tas saskaņā ar civiltiesisko līgumu vai vienošanos par projekta īstenošanu noteiktajā termiņā iesniedz sadarbības iestādē ziņojumu par konstatēto šo noteikumu 23. un 24. punktā minēto nosacījumu pārkāpumu. Sadarbības iestādei ir tiesības finansējuma saņēmējam pieprasīt pārskatus par papildinošu saimniecisko darbību visā projekta dzīves cikla laikā, tai skaitā gadījumos, kad saņemta informācija par papildinošās saimnieciskās darbības nosacījumu pārkāpumu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Eiropas Savienības fondu 2021.—2027. gada plānošanas perioda vadības likuma 18. panta pirmās daļas 2. punktu finansējuma saņēmējam ir pienākums nodrošināt projekta īstenošanu saskaņā ar Eiropas Savienības un Latvijas Republikas normatīvajiem aktiem un </w:t>
            </w:r>
            <w:r w:rsidR="00000000" w:rsidRPr="00000000" w:rsidDel="00000000">
              <w:rPr>
                <w:u w:val="single"/>
                <w:rtl w:val="0"/>
              </w:rPr>
              <w:t xml:space="preserve">vienošanos par projekta īstenošanu</w:t>
            </w:r>
            <w:r w:rsidR="00000000" w:rsidRPr="00000000" w:rsidDel="00000000">
              <w:rPr>
                <w:rtl w:val="0"/>
              </w:rPr>
              <w:t xml:space="preserve">, </w:t>
            </w:r>
            <w:r w:rsidR="00000000" w:rsidRPr="00000000" w:rsidDel="00000000">
              <w:rPr>
                <w:u w:val="single"/>
                <w:rtl w:val="0"/>
              </w:rPr>
              <w:t xml:space="preserve">ja finansējuma saņēmējs ir tiešās</w:t>
            </w:r>
            <w:r w:rsidR="00000000" w:rsidRPr="00000000" w:rsidDel="00000000">
              <w:rPr>
                <w:rtl w:val="0"/>
              </w:rPr>
              <w:t xml:space="preserve"> vai pastarpinātās </w:t>
            </w:r>
            <w:r w:rsidR="00000000" w:rsidRPr="00000000" w:rsidDel="00000000">
              <w:rPr>
                <w:u w:val="single"/>
                <w:rtl w:val="0"/>
              </w:rPr>
              <w:t xml:space="preserve">pārvaldes iestāde</w:t>
            </w:r>
            <w:r w:rsidR="00000000" w:rsidRPr="00000000" w:rsidDel="00000000">
              <w:rPr>
                <w:rtl w:val="0"/>
              </w:rPr>
              <w:t xml:space="preserve">, atvasināta publiska persona vai cita valsts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finansējuma saņēmējs ir Valsts ugunsdzēsības un glābšanas dienests, lūdzam svītrot noteikumu projekta 25. punktā vārdu "civiltiesisko līgumu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iestāde nodrošina veikto investīciju atbilstības uzraudzību atbilstoši šo noteikumu 23. un 24. punktā minētajiem nosacījumiem visā projekta dzīves ciklā. Finansējuma saņēmējs visā projekta dzīves ciklā katru gadu sagatavo pārskatu par papildinošas saimnieciskās darbības apjomu un nodrošina šajā punktā minēto pārskatu un aprēķinus pamatojošo dokumentu pieejamību papildinošas saimnieciskās darbības uzraudzībai un iesniedz to sadarbības iestādē pēc sadarbības iestādes pieprasījuma. Ja finansējuma saņēmējs konstatē, ka ir pārsniegts šo noteikumu 23. punktā minētais 20 procentu ierobežojums no specializēto ugunsdzēsības un glābšanas transportlīdzekļu, pārvietojamo konteineru vai aprīkojuma vienību gada jaudas platības, laika vai finanšu izteiksmē vai ka veiktās investīcijas tiek izmantotas citai saimnieciskai darbībai, kas nav uzskatāma par papildinošu saimniecisku darbību, tas </w:t>
            </w:r>
            <w:r w:rsidR="00000000" w:rsidRPr="00000000" w:rsidDel="00000000">
              <w:rPr>
                <w:u w:val="single"/>
                <w:rtl w:val="0"/>
              </w:rPr>
              <w:t xml:space="preserve">saskaņā ar vienošanos par projekta īstenošanu</w:t>
            </w:r>
            <w:r w:rsidR="00000000" w:rsidRPr="00000000" w:rsidDel="00000000">
              <w:rPr>
                <w:rtl w:val="0"/>
              </w:rPr>
              <w:t xml:space="preserve"> noteiktajā termiņā iesniedz sadarbības iestādē ziņojumu par konstatēto šo noteikumu 23. un 24. punktā minēto nosacījumu pārkāpumu. Sadarbības iestādei ir tiesības finansējuma saņēmējam pieprasīt pārskatus par papildinošu saimniecisko darbību visā projekta dzīves cikla laikā, tai skaitā gadījumos, kad saņemta informācija par papildinošās saimnieciskās darbības nosacījumu pārkāpumu no finansējuma saņēmēja, kompetentajām iestādēm vai no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iestāde nodrošina veikto investīciju atbilstības uzraudzību atbilstoši šo noteikumu 23. un 24. punktā minētajiem nosacījumiem visā projekta dzīves ciklā. Finansējuma saņēmējs visā projekta dzīves ciklā katru gadu sagatavo pārskatu par papildinošas saimnieciskās darbības apjomu un nodrošina šajā punktā minēto pārskatu un aprēķinus pamatojošo dokumentu pieejamību papildinošas saimnieciskās darbības uzraudzībai un iesniedz to sadarbības iestādē pēc sadarbības iestādes pieprasījuma. Ja finansējuma saņēmējs konstatē, ka ir pārsniegts šo noteikumu 23. punktā minētais 20 procentu ierobežojums no specializēto ugunsdzēsības un glābšanas transportlīdzekļu, pārvietojamo konteineru vai aprīkojuma vienību gada jaudas laika vai finanšu izteiksmē vai ka veiktās investīcijas tiek izmantotas citai saimnieciskai darbībai, kas nav uzskatāma par papildinošu saimniecisku darbību, tas saskaņā ar vienošanos par projekta īstenošanu noteiktajā termiņā iesniedz sadarbības iestādē ziņojumu par konstatēto šo noteikumu 23. un 24. punktā minēto nosacījumu pārkāpumu. Sadarbības iestādei ir tiesības finansējuma saņēmējam pieprasīt pārskatus par papildinošu saimniecisko darbību visā projekta dzīves cikla laikā, tai skaitā gadījumos, kad saņemta informācija par papildinošās saimnieciskās darbības nosacījumu pārkāpumu no finansējuma saņēmēja, kompetentajām iestādēm vai no trešajām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pasākuma ietekmes izvērtējumu uz Eiropas Savienības stratēģijā Baltijas jūras reģionam (ESSBJR) noteikto mērķu sasniegšanu. Vienlaikus papildinot ar informāciju par sinerģiju, papildinātību ar Eiropas Savienības un citiem atbalsta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pētījumam ""Tīro" un energoefektīvo autotransporta līdzekļu ieviešanas iespēju izpēte un tehniskās specifikācijas sagatavošana risinājumu izstrādei un integrācijai Valsts ugunsdzēsības un glābšanas dienestā" Valsts ugunsdzēsības un glābšanas dienestam visatbilstošākais vieglais transportlīdzeklis ir elektroautomobīlis, bet anotācijā iekļauta informācija, ka plānots iegādāties plug-in hibrīda elektriskos transportlīdzekļus iepriekš plānoto elektrisko transportlīdzekļu vietā, nesniedzot papildus skaidrojumus, norādītais ir pretrunā ar pētījumā secināto, tādēļ lūdzam iekļaut detalizētu skaidrojumu par iepriekš iegādāties plānoto transportlīdzekļu dzinēja tipa maiņu.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"Grozījumi Ministru kabineta 2024. gada 20. februāra noteikumos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 (24-TA-2513) anotācijā norādīto 2.1.3.3.pasākuma finansējuma sadalījumu pa kārtām, un  norādīto, ka tajā brīdī, kad beigsies pētījums par Katastrofu zaudējumu datu bāzes projekta ieviešanu, provizoriski 2025. gada novembrī, šim projektam nepieciešamais finansējums tiks rasts no 2.1.3.3. pasākuma otrās kārtas, lūdzam papildināt anotāciju ar skaidru izklāstu, kā minētā finansējuma pārdalīšana citam projektam ietekmēs šīs kārtas projektus, to sasniedzamos mērķus un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pasākuma ietekmi uz Horizontālo principu "Energoefektivitāte pirmajā vieta" un "Vienlīdzība, iekļaušana, nediskriminācija un pamattiesību ievērošana" (turpmāk - HP VINPI). Ņemot vērā, ka atbilstoši Eiropas Savienības fondu 2021.–2027.gada plānošanas perioda uzraudzības komitejas rakstiskās procedūras 23.04.2024. lēmumam Nr. 2024-5.2-3/16/508 pasākuma 2. kārtai nav plānots izstrādāt projektu iesniegumu vērtēšanas kritērijus, lai Kohēzijas politikas fondu vadības informācijas sistēmā (turpmāk – KP VIS) definētu nosacījumus projektam, lūdzam norādīt, vai projekta iesniedzējam projektā ir jāparedz HP VINPI darbības vai rādītāji. Papildus, ņemot vērā, ka projektam ir plānota ietekme uz horizontālajiem principiem "Klimatdrošināšana" un "Nenodarīt būtisku kaitējumu", lai KP VIS definētu nosacījumus projektam, lūdzam norādīt, vai projekta iesniedzējam projektā ir jāparedz konkrēts skaits minēto horizontālo principu darbību vai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informāciju par sinerģiju, papildinātību ar ES un citiem atbalsta instrumentiem, piemēram, Atveseļošanas un noturības mehānisma investīcijām, kā arī valsts budžetu, nepieciešamības gadījumā norādot, kā tiks nodrošināta demarkācija un dubultfinansējuma riska novēršana gadījumos, kad no dažādiem finanšu avotiem tiks atbalstītas vienas un tās pašas 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projektā tiks iesaistīta Nodrošinājuma valsts aģentūra, vai anotācijā minēto projekta iepirkumu tā veiks par saviem līdzekļiem, vai plānots, ka šis process tiks finansēts no projektam paredzētā finansējuma. Vēršam uzmanību, ka, ja projektā tiek plānots finansējums arī Nodarbinātības valsts aģentūrai, tā jānosaka par sadarbības partneri, attiecīgi papildinot noteikumu projektu ar nosacījumiem sadarbības partnerim.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detalizētāk papildināt anotācijas 2.2. apakšsadaļu "Tiesiskā regulējuma ietekme uz tautsaimniecību".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3. sadaļas 6. punktā norādīt konkrētu finansējuma apmēru, kāds tiks novirzīts no jauna iegādāto Valsts ugunsdzēsības un glābšanas dienesta (turpmāk - VUGD) transportlīdzekļu uzturēšanas izdevumu segšanai, no VUGD autoparka, kuru plānots aizstāt ar jaunajiem transportlīdzekļiem, uzturēšanas izdevumiem budžetā esošā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attiecināms uz jaunāko redakciju.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“Tiesību akta projekta ietekme uz valsts budžetu un pašvaldību budžetiem” 6. apakšsadaļu “Detalizēts ieņēmumu un izdevumu aprēķins” ar informāciju vai plānotie uzturēšanas izdevumi (19 965 euro gadā no 01.07.2027) ir aprēķināti, ņemot vērā "ietaupījumus" no uzturēšanas izdevumu samazināšanas par aizvietotiem veciem transportlīdzekļiem par plānoto ikgadējo finansējumu uzturēšanas izdevumu segšanai par iegādātiem jauniem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3. sadaļas tabulu, tajā kā kārtējo gadu norādot 2025. gadu un attiecīgi secīgi turpmākos gadus. Kā arī vienlaicīgi lūdzam precizēt anotācijas 3. sadaļas 6. punktā nekorekti norādīto Ministru kabineta 2023. gada 17. janvāra noteikumu Nr. 15 “Maksimāli pieļaujamā valsts budžeta izdevumu kopapjoma un  katrai ministrijai un citai centrālajai valsts iestādei paredzētā izdevumu kopējā apjoma noteikšanas kārtība vidējam termiņam”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- 22.04.2025.)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2.1.3.3.pasākuma otrās kārtas specifiku (atbalstāmās darbības un izmaksas ir izteikti tehniskas un nav vērstas uz cilvēkresursu attīstību), var uzskatīt, ka pasākumam nav ietekmes uz horizontālo principu “Vienlīdzība, iekļaušana, nediskriminācija un pamattiesību ievērošana” (turpmāk - HP VINPI).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Labklājības ministrijas iebildumus par 2.1.3.3.pasākuma otrās kārtas MK Noteikumu projektu un anotāciju  (TAP Nr. 23-TA-1151, 24-TA-2687), </w:t>
            </w:r>
            <w:r w:rsidR="00000000" w:rsidRPr="00000000" w:rsidDel="00000000">
              <w:rPr>
                <w:b w:val="1"/>
                <w:rtl w:val="0"/>
              </w:rPr>
              <w:t xml:space="preserve">aicinām papildināt anotācijas 8.2.apakšsadaļu ar informāciju saistībā ar HP VINPI atbilstoši HP vadlīniju [1] prasībām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horizontālā principa “Vienlīdzība, iekļaušana, nediskriminācija un pamattiesību ievērošana” īstenošanai un uzraudzībai (2021-2027) (turpmāk - HP VINPI), pasākumam nav ietekmes uz HP VINPI. Vienlaikus, lai  nodrošinātu, ka projektu īstenošanā tiek veicināta vienlīdzība, iekļaušana, nediskriminācija un  ievērotas  pamattiesības, projektu iesniegumu vērtēšanā tiks piemērots HP VINPI specifiskais atbilstības kritērijs. Kritērijā tiks vērtēts, vai projekta iesniegumā ir paredzēta vismaz viena vispārīgā HP VINPI darbība, kas attiecas uz publicitāti, personālu vai publiskajiem iepirkumiem. Kritēriju var nepiemērot projektos, kuru satura dēļ nav iespējams īstenot nevienu HP VINPI darbību, jo netiek īstenota publicitāte un iepirkumi un netiek piesaistīts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jo atbilstoši Finanšu ministrijas 2024. gada 11. aprīļa metodikas Nr.3.1. “Eiropas Reģionālās attīstības fonda, Eiropas Sociālā fonda plus, Kohēzijas fonda un Taisnīgas pārkārtošanās fonda projektu iesniegumu atlases metodika 2021.–2027.gadam” 9. punktam SAM 2.1.3.3. 2. kārtas pasākums ir iekļauts izņēmuma atlašu sarakstā, kas apstiprināts ar UK lēmumu (Apstiprināts Eiropas Savienības fondu 2021.–2027.gada plānošanas perioda uzraudzības komitejas rakstiskajā procedūrā ar 2024. gada 23. aprīļa lēmumu Nr. 2024 5.2-3/16/508), kas paredz, ka specifiskie atbilstības kritēriji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piedāvāto risinājumu attiecībā  uz valsts budžeta finansējuma 102 881 742 </w:t>
            </w:r>
            <w:r w:rsidR="00000000" w:rsidRPr="00000000" w:rsidDel="00000000">
              <w:rPr>
                <w:i w:val="1"/>
                <w:rtl w:val="0"/>
              </w:rPr>
              <w:t xml:space="preserve">euro </w:t>
            </w:r>
            <w:r w:rsidR="00000000" w:rsidRPr="00000000" w:rsidDel="00000000">
              <w:rPr>
                <w:rtl w:val="0"/>
              </w:rPr>
              <w:t xml:space="preserve">apmērā, kas piešķirts no budžeta resora "74. Gadskārtējā valsts budžeta izpildes procesā pārdalāmais finansējums" programmas 18.00.00 "Finansējums valsts drošības stiprināšanas pasākumiem"  (turpmāk - 18. programma)  ar valsts drošību saistītajam prioritārajam pasākumam "Speciālo ugunsdzēsības un glābšanas transportlīdzekļu iegāde" īstenošanai, deklarēšanai Eiropas Komisijai Eiropas Savienības kohēzijas politikas programmas 2021. - 2027. gadam 2.1.3.3. pasākuma “Katastrofu risku mazināšanas pasākumi” otrās projektu iesniegumu atlases kārtas ietvaros, vienlaicīgi atbalstot, ka attiecīgie izdevumi vairs netiek atzīti par vienreizējo pasākumu un netiek izslēgti no  vispārējās valdības budžeta strukturālās bilances mērķa, un nosakot, ka finansējums 102 885 442 </w:t>
            </w:r>
            <w:r w:rsidR="00000000" w:rsidRPr="00000000" w:rsidDel="00000000">
              <w:rPr>
                <w:i w:val="1"/>
                <w:rtl w:val="0"/>
              </w:rPr>
              <w:t xml:space="preserve">euro </w:t>
            </w:r>
            <w:r w:rsidR="00000000" w:rsidRPr="00000000" w:rsidDel="00000000">
              <w:rPr>
                <w:rtl w:val="0"/>
              </w:rPr>
              <w:t xml:space="preserve">apmērā ir uzskatāms par izmantotu, ņemot vērā tā piešķiršanas mērķi un vienreizējo raksturu,  un attiecīgi nav izmantojams citu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nekorekti norādīto valsts budžeta finansējuma apmēru, kuru paredzēts deklarēt Eiropas Komisijai, ņemot vērā, ka Ministru kabineta sēdes protokollēmuma projekta 3. punkta sākumā un beigās ir norādīts atšķirīgs 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piedāvāto risinājumu attiecībā  uz valsts budžeta finansējuma 102 881 742 </w:t>
            </w:r>
            <w:r w:rsidR="00000000" w:rsidRPr="00000000" w:rsidDel="00000000">
              <w:rPr>
                <w:i w:val="1"/>
                <w:rtl w:val="0"/>
              </w:rPr>
              <w:t xml:space="preserve">euro </w:t>
            </w:r>
            <w:r w:rsidR="00000000" w:rsidRPr="00000000" w:rsidDel="00000000">
              <w:rPr>
                <w:rtl w:val="0"/>
              </w:rPr>
              <w:t xml:space="preserve">apmērā, kas piešķirts no budžeta resora "74. Gadskārtējā valsts budžeta izpildes procesā pārdalāmais finansējums" programmas 18.00.00 "Finansējums valsts drošības stiprināšanas pasākumiem"  (turpmāk - 18. programma)  ar valsts drošību saistītajam prioritārajam pasākumam "Speciālo ugunsdzēsības un glābšanas transportlīdzekļu iegāde" īstenošanai, deklarēšanai Eiropas Komisijai Eiropas Savienības kohēzijas politikas programmas 2021. - 2027. gadam 2.1.3.3. pasākuma “Katastrofu risku mazināšanas pasākumi” otrās projektu iesniegumu atlases kārtas ietvaros, vienlaicīgi atbalstot, ka attiecīgie izdevumi vairs netiek atzīti par vienreizējo pasākumu un netiek izslēgti no  vispārējās valdības budžeta strukturālās bilances mērķa, un nosakot, ka finansējums 102 881 742 </w:t>
            </w:r>
            <w:r w:rsidR="00000000" w:rsidRPr="00000000" w:rsidDel="00000000">
              <w:rPr>
                <w:i w:val="1"/>
                <w:rtl w:val="0"/>
              </w:rPr>
              <w:t xml:space="preserve">euro </w:t>
            </w:r>
            <w:r w:rsidR="00000000" w:rsidRPr="00000000" w:rsidDel="00000000">
              <w:rPr>
                <w:rtl w:val="0"/>
              </w:rPr>
              <w:t xml:space="preserve">apmērā ir uzskatāms par izmantotu, ņemot vērā tā piešķiršanas mērķi un vienreizējo raksturu,  un attiecīgi nav izmantojams citu pasākumu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Iekšlietu ministrijai informēt Ministru kabinetu par priekšlikumiem rīcībai gadījumā, ja netiek saņemts pozitīvs Eiropas Komisijas lēmums par  grozījumiem Eiropas Savienības Kohēzijas politikas programmā 2021.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uz kādiem grozījumiem Eiropas Savienības kohēzijas politikas programmā 2021.-2027. gadam ir ietverta atsauce Ministru kabineta sēdes protokollēmuma projekta 3.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ministram informēt Saeimas Budžeta un finanšu (nodokļu) komisiju par šā Ministru kabineta sēdes protokollēmuma 3. punktā  minēto valsts budžeta finansējuma 102 881 742 </w:t>
            </w:r>
            <w:r w:rsidR="00000000" w:rsidRPr="00000000" w:rsidDel="00000000">
              <w:rPr>
                <w:i w:val="1"/>
                <w:rtl w:val="0"/>
              </w:rPr>
              <w:t xml:space="preserve">euro </w:t>
            </w:r>
            <w:r w:rsidR="00000000" w:rsidRPr="00000000" w:rsidDel="00000000">
              <w:rPr>
                <w:rtl w:val="0"/>
              </w:rPr>
              <w:t xml:space="preserve">apmērā, kas piešķirts no 18. programmas īstenošanai, deklarēšanu Eiropas Komisijai Eiropas kohēzijas politikas programmas 2021. - 2027. gada 2.1.3.3. pasākuma “Katastrofu risku mazināšanas pasākumi” otrās projektu iesniegumu atlases kārtas īstenošanas noteikumi" ietvaros.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24-TA-2687</w:t>
    </w:r>
    <w:r>
      <w:br/>
    </w:r>
    <w:r w:rsidR="00000000" w:rsidRPr="00000000" w:rsidDel="00000000">
      <w:rPr>
        <w:rtl w:val="0"/>
      </w:rPr>
      <w:t xml:space="preserve">27.06.2025. 14.45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24-TA-2687</w:t>
    </w:r>
    <w:r>
      <w:br/>
    </w:r>
    <w:r w:rsidR="00000000" w:rsidRPr="00000000" w:rsidDel="00000000">
      <w:rPr>
        <w:rtl w:val="0"/>
      </w:rPr>
      <w:t xml:space="preserve">27.06.2025. 14.45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Izziņa_24-TA-2687.docx</dc:title>
</cp:coreProperties>
</file>

<file path=docProps/custom.xml><?xml version="1.0" encoding="utf-8"?>
<Properties xmlns="http://schemas.openxmlformats.org/officeDocument/2006/custom-properties" xmlns:vt="http://schemas.openxmlformats.org/officeDocument/2006/docPropsVTypes"/>
</file>