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22-TA-2017: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Publisko elektronisko sakaru tīklu drošības prasības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projekts "Noteikumi par publisko elektronisko sakaru tīklu un tajos izmantoto iekārtu, programmatūru un ārpakalpojumu drošības prasībām, kompetentajām iestādēm drošības prasību piemērošanas uzraudzībai un to funkcijām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atbilstoši Ministru kabineta 2009. gada 3. februāra noteikumu Nr. 108 "Normatīvo aktu projektu sagatavošanas noteikumi" 90. un 91.punkta prasībām, piemēram, "</w:t>
            </w:r>
            <w:r w:rsidR="00000000" w:rsidRPr="00000000" w:rsidDel="00000000">
              <w:rPr>
                <w:i w:val="1"/>
                <w:rtl w:val="0"/>
              </w:rPr>
              <w:t xml:space="preserve">Publisko elektronisko sakaru tīklu drošības prasības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taču tehniski pašreizējā saskaņošanas procesā nav iespējams izmainīt TA pamatinformāciju, tas tiks darīts, kad TA projekts tiks iesniegts Valsts kancelejā.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drošības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drošības incidents – kaitīgs notikums vai nodarījums vai vairāki saistīti notikumi, kuru rezultātā tiek apdraudēta publisko elektronisko sakaru tīkla integritāte, pieejamība vai konfidencialitāte;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svītrot noteikumu projekta 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terminus skaidro, lai konkretizētu terminā izteiktā jēdziena izpratnes robežas, </w:t>
            </w:r>
            <w:r w:rsidR="00000000" w:rsidRPr="00000000" w:rsidDel="00000000">
              <w:rPr>
                <w:u w:val="single"/>
                <w:rtl w:val="0"/>
              </w:rPr>
              <w:t xml:space="preserve">ja termins nav skaidrots vai lietots augstāka juridiskā spēka normatīvajā aktā</w:t>
            </w:r>
            <w:r w:rsidR="00000000" w:rsidRPr="00000000" w:rsidDel="00000000">
              <w:rPr>
                <w:rtl w:val="0"/>
              </w:rPr>
              <w:t xml:space="preserve">. Vēršam uzmanību, ka termins "informācijas tehnoloģiju drošības incidents (drošības incidents)" ir skaidrots Informācijas tehnoloģiju drošības likuma 6. panta pirmajā daļā, nosakot, ka "</w:t>
            </w:r>
            <w:r w:rsidR="00000000" w:rsidRPr="00000000" w:rsidDel="00000000">
              <w:rPr>
                <w:i w:val="1"/>
                <w:rtl w:val="0"/>
              </w:rPr>
              <w:t xml:space="preserve">Informācijas tehnoloģiju drošības incidents (turpmāk — drošības incidents) ir kaitīgs notikums vai nodarījums, kura rezultātā tiek apdraudēta informācijas tehnoloģiju integritāte, pieejamība vai konfidencialitāte"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noteikumu projekta 2.3.apakšpunkts svītrojams un noteikumu projektā izmantojams Informācijas tehnoloģiju drošības likumā definētais termins.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izvērtējama arī noteikumu projekta 2.4. - 2.6.apakšpunktā minēto terminu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izstrādais TA projekts tiek izdots saskaņā ar Elektronisko sakaru likumu, kā arī atšķiras subjektu loks, uz kuru attiecas noteikumu projekts, uzskatām, ka ir nepieciešams atstāt definīcijas skaidrojumu. Kā arī, 2.4.-2.6. apakšpunktos minētie termini ne visi tiek skaidroti citos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drošības incidents – kaitīgs notikums vai nodarījums vai vairāki saistīti notikumi, kuru rezultātā tiek apdraudēta publisko elektronisko sakaru tīkla integritāte, pieejamība vai konfidencialitāte;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integritāte – informācijas un tās apstrādes metožu precizitāte, pareizība un pilnīgums;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 punktā ietverto iebildumu attiecībā uz noteikumu projekta 2.4.-2.6. apakšpunktā ietvertajiem terminu skaidrojumiem. Norādām, ka atbilstoši juridiskās tehnikas prasībām Ministru kabineta noteikumos neskaidro terminus, ja tie skaidroti </w:t>
            </w:r>
            <w:r w:rsidR="00000000" w:rsidRPr="00000000" w:rsidDel="00000000">
              <w:rPr>
                <w:u w:val="single"/>
                <w:rtl w:val="0"/>
              </w:rPr>
              <w:t xml:space="preserve">vai lietoti augstāka juridiskā spēka normatīvajā aktā</w:t>
            </w:r>
            <w:r w:rsidR="00000000" w:rsidRPr="00000000" w:rsidDel="00000000">
              <w:rPr>
                <w:rtl w:val="0"/>
              </w:rPr>
              <w:t xml:space="preserve">. Attiecīgi izziņā ietvertā norāde, ka 2.4.-2.6. apakšpunktos minētie termini ne visi tiek skaidroti citos normatīvajos aktos, nav korekta, jo visi attiecīgie termini ir lietoti Informācijas tehnoloģiju drošības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minētie noteikumu terminu skaidrojumi izņemti no noteikumu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ticis ņemts vērā LIA priekšlikums šos noteikumus neattiecināt uz komersantiem, kuri jau izstrādā un iesniedz kritiskās un IT kritiskās infrastruktūras aizsardzības plānus, tāpēc uzturam iebildumus. Mūsuprāt, nav pamatoti, ka normatīvie akti prasa noteiktam komersantam izstrādāt trīs līdzīgus plānus un iesniegt vienām un tām pašām uzraudzības iestādēm (SAB vai CERT).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elektronisko sakaru komersantu, kurš īsteno kritiskās infrastruktūras un Eiropas kritiskās infrastruktūras drošības pasākumu plānošanu un īstenošanu normatīvajos aktos noteiktajā kārtībā [atbilstoši Ministru kabineta 2021.gada 6.jūlija noteikumu nr.508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komersantu, kurš kā informācijas tehnoloģiju kritiskās infrastruktūras īpašnieks vai pamatpakalpojuma vai digitālā pakalpojuma sniedzējs īsteno normatīvajos aktos noteikto infrastruktūras drošības pasākumu plānošanas un īstenošanas kārtību [ atbilstoši Informācijas Tehnoloģiju drošības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pēc būtības - nav pamatoti IT kritiskās infrastruktūras īpašniekus pilnībā izņemt no TA subjektu loka, jo šajā TA izvirzītās prasības ir plašākas, kā minētajos normatīvajos aktos, taču, lai novērstu to, ka nepieciešams atkārtoti sniegt informāciju, noteikumu projekts papildināts ar 8. pantu - "Šo noteikumu 4.7. apakšpunktā minētā prasība izstrādāt rīcības plānu publiskā elektronisko sakaru tīkla nepārtrauktas darbības nodrošināšanai neattiecas uz informācijas tehnoloģiju kritiskās infrastruktūras īpašniekiem vai tiesiskajiem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neattiecas uz: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elektronisko sakaru tīklu gala iekārtām pie klienta un citām galalietotāja iekārtām, izņemot gadījumu, kad gala iekārta ir publisko elektronisko sakaru tīkla īpašnieka īpašums, kas nodota klienta vai galalietotāja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dzēst 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3.3.apakšpunkts šķietami ir pretrunā ar 4.4.apakšpunktu, proti, 3.3.apakšpunkts paredz, ka Noteikumu projekts attiecas arī uz gala iekārtām, savukārt 4.4.apakšpunktā minēts, ka nepieciešams informēt Sabiedrības aizsardzības biroju (SAB) par tīkla kritiskajās daļās izmantotajām iekārtām. No Noteikumu projekta pielikuma izriet, ka gala iekārtas neattiecas uz tīkla kritisko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nesaskata iebildumā minētās pretrunas. Noteikumi attiecas tikai uz tām gala iekārtām,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tīkla īpašnieka īpašums. 4.3. punkts nosaka, ka publiskā elektronisko sakaru tīkla īpašnieks var identificēt kā kritiskas arī citas publiskā elektronisko sakaru tīkla daļas, kuras nav noteiktas šo noteikumu pielikumā, attiecīgi tīkla īpašnieks arī savā īpašumā esošo galaiekārtu, kas nodota klienta vai galalietotāja lietošanā, var identificēt kā tīkla kritisko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publisko elektronisko sakaru tīklu gala iekārtām pie klienta un citām galalietotāja iekārtām, izņemot gadījumu, kad gala iekārta ir publisko elektronisko sakaru tīkla īpašnieka īpašums, kas nodota klienta vai galalietotāja lietošanā.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ka drošības risku pārvaldības sistēma tiek dokumentēta, un informācija tiek pastāvīgi uzlabota, pamatojoties uz gūtajām atziņām, kas uzkrātas publisko elektronisko sakaru tīklu izmantošanas un uzraudzības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4.2. apakšpunktā norādīt konkrētas darbības, kā izpaužas attiecīgais pienākums,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kā arī pievienots papildu skaidrojums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izstrādāt drošības risku pārvaldības sistēmas dokumentāciju, nodrošinot, ka informācija tiek pastāvīgi uzlabota, pamatojoties uz gūtajām atziņām, kas uzkrātas publisko elektronisko sakaru tīklu izmantošanas un uzraudzības gaitā;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pielikumu. Publisko elektronisko sakaru tīklu īpašnieks var identificēt kā kritiskas arī citas publiskā elektronisko sakaru tīkla daļas, kuras nav noteiktas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pielikumā lietota termina "pamattīkls" skaidrojošu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Publiskā elektronisko sakaru tīkla īpašnieks var identificēt kā kritiskas arī citas publiskā elektronisko sakaru tīkla daļas, kuras nav noteiktas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pielikumu. Publisko elektronisko sakaru tīklu īpašnieks var identificēt kā kritiskas arī citas publiskā elektronisko sakaru tīkla daļas, kuras nav noteiktas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1.tabulā aizstāt terminu "nemobilajiem" ar terminu "fiksētajiem" atbilstoši Elektronisko sakaru likumā lietotajai terminoloģijai,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 kas kontrolē lietotāja datplūsmu starp mobilo skaru tīklu un fiksēto sakaru 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Publiskā elektronisko sakaru tīkla īpašnieks var identificēt kā kritiskas arī citas publiskā elektronisko sakaru tīkla daļas, kuras nav noteiktas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kādi dati un informācija jāsniedz SAB, ievērojot 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4.4.apakšpunkta nevar skaidri secināt, kāda tieši informācija un kādā apjomā būtu jāsniedz SAB, kā arī nav atrunāts kāda informācija jāiesniedz par ārpakalpojuma sniedzēju, aicinām Noteikumu projektā ietvert iesniedzamo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 pielikumu, kas skaidri identificē, kāda tieši informācija un kādā apjomā ir jāiesniedz Satversmes aizsardzības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4.4.apakšpunkts šķietami ir pretrunā ar 3.3.apakšpunktu, proti, 3.3.apakšpunkts paredz, ka Noteikumu projekts attiecas arī uz gala iekārtām, savukārt 4.4.apakšpunktā minēts, ka nepieciešams informēt Sabiedrības aizsardzības biroju (SAB) par tīkla kritiskajās daļās izmantotajām iekārtām. No Noteikumu projekta pielikuma izriet, ka gala iekārtas neattiecas uz tīkla kritisko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nesaskata iebildumā minētās pretrunas. Noteikumi attiecas tikai uz tām gala iekārtām,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tīkla īpašnieka īpašums. Savukārt 4.3. punkts nosaka, ka publiskā elektronisko sakaru tīkla īpašnieks var identificēt kā kritiskas arī citas publiskā elektronisko sakaru tīkla daļas, kuras nav noteiktas šo noteikumu pielikumā, attiecīgi tīkla īpašnieks arī savā īpašumā esošo galaiekārtu, kas nodota klienta vai galalietotāja lietošanā, var identificēt kā tīkla kritisko daļu. Attiecīgi starp  3.3. un 4.4. punktu nav pretrunu.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4.7.</w:t>
            </w:r>
            <w:r w:rsidR="00000000" w:rsidRPr="00000000" w:rsidDel="00000000">
              <w:rPr>
                <w:rtl w:val="0"/>
              </w:rPr>
              <w:t xml:space="preserve"> apakšpunktā minētā prasība izstrādāt rīcības plānu publiskā elektronisko sakaru tīkla nepārtrauktas darbības nodrošināšanai neattiecas uz informācijas tehnoloģiju kritiskās infrastruktūras īpašniekiem vai tiesiskajiem valdītājiem.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anotāciju papildināt ar pamatotu skaidrojumu par noteikumu projekta 8. punktā ietvertā izņēmuma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8. punktā norādītā izņēmuma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4.7.</w:t>
            </w:r>
            <w:r w:rsidR="00000000" w:rsidRPr="00000000" w:rsidDel="00000000">
              <w:rPr>
                <w:rtl w:val="0"/>
              </w:rPr>
              <w:t xml:space="preserve"> apakšpunktā minētā prasība izstrādāt rīcības plānu publiskā elektronisko sakaru tīkla nepārtrauktas darbības nodrošināšanai neattiecas uz informācijas tehnoloģiju kritiskās infrastruktūras īpašniekiem vai tiesiskajiem valdītājiem.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Publisko elektronisko sakaru tīklu īpašnieka pienākumi incidentu novēršanas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8.punktu, jo tas dublē Informācijas tehnoloģiju drošības likuma 9. panta pirmajā daļā noteiktos elektronisko sakaru komersantu pienākumus drošības incidentu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svītrot arī noteikumu projekta 9.punktu, kā arī izvērtēt un nepieciešamības gadījumā svītrot citas noteikumu projekta normas, kurās dublēti Informācijas tehnoloģiju drošības likuma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minētais noteikumu projektā ietvertais regulējums pārsniedz Elektronisko sakaru likuma 8. panta pirmajā un otrajā daļā noteiktā pilnvarojuma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atsevišķirīgo subjektu loku dažādiem normatīvajiem aktiem, uzskatām, ka nepieciešams saglabāt noteikumu projekta 9.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4.7.</w:t>
            </w:r>
            <w:r w:rsidR="00000000" w:rsidRPr="00000000" w:rsidDel="00000000">
              <w:rPr>
                <w:rtl w:val="0"/>
              </w:rPr>
              <w:t xml:space="preserve"> apakšpunktā minētā prasība izstrādāt rīcības plānu publiskā elektronisko sakaru tīkla nepārtrauktas darbības nodrošināšanai neattiecas uz informācijas tehnoloģiju kritiskās infrastruktūras īpašniekiem vai tiesiskajiem valdītājiem.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Publisko elektronisko sakaru tīklu īpašnieka pienākumi incidentu novēršanas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6. punktā ietverto iebildumu. Norādām, ka atšķirīgs subjektu loku attiecīgajiem normatīvajiem aktiem pats par sevi nav pietiekams pamatojums augstāka juridiskā spēka normatīvajā aktā ietverta regulējuma dublēšanai noteikumu projektā (nav arī skaidrs, vai noteikumu projektā regulēto tiesisko attiecību subjektu loks ir plašāks par Informācijas tehnoloģiju drošības likumā noteikto), kā arī atkārtoti vēršam uzmanību arī uz to, ka noteikumu projekta 9. un 10. punktā ietvertais regulējums pārsniedz Elektronisko sakaru likuma 8. panta pirmajā un otrajā daļā noteiktā pilnvarojuma robežas, par ko tai skaitā izziņā nav sniegts atbilstošs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Publisko elektronisko sakaru tīklu īpašnieka pienākumi incidentu novēršanas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trešās valsts vai to atbalstošu subjektu īstenotas agresīvas darbības ES, NATO vai EEZ dalībvalsts kibertelpā;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kas ir saprotams ar trešās valsts atbalstošiem subjektiem un kādas darbības varētu kvalificētām agresīvām darbības ES, NATO vai EEZ dalībvalsts kibertelpā.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skaidras tiesību normas, 11.1.4. punkts ir aizstāts ar diviem daudz skaidrākiem kritērijiem (jaunie punkti 11.1.2. un 11.1.3.), kas izteikti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11.1.2. kuru Eiropas Parlaments vai Latvijas Republikas Saeima ir atzinusi par terorismu atbalstošu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11.1.3. kura ir iekļauta publiskā kiberincidenta attiecināšanas paziņojumā, kuru Latvija ir iniciējusi vai kuram ir pievienojusies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kurā nepastāv demokrātiska pārvaldes forma vai, ja ar attiecīgo valsti nav nolīguma drošības vai datu aizsardzības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no partnerdienestiem vai informācijas tehnoloģijas drošības incidentu novēršanas institūcijām saņemtā informācija par iekārtas vai programmatūras izstrādātāju, ražotāju, izplatītāju vai ārpakalpojuma 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12.5. apakšpunktā konkretizēt (precīzāk noteikt), kāda informācija no attiecīgajiem dienestiem vai institūcijām ir ņemama vērā,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redakcijas visā 11. punktā (iepriekš 12), konkretizējot, kāda tieši informācija var tikt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labojumiem, pants ir pārstrukturēts loģiskā secībā, nodalot tos kritērijus, kas attiecas uz valsti, kas var ietekmēt  iekārtas vai programmatūras izstrādātāju, ražotāju, izplatītāju vai ārpakalpojuma sniedzēju, no uz pašu iekārtas vai programmatūras izstrādātāju, ražotāju, izplatītāju vai ārpakalpojuma sniedzēju attiecināmos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Ārpakalpojumu drošība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IV nodaļas izriet, ka gan Digitālās drošības uzraudzības komiteja, gan CERT.LV, gan SAB sniedz saistošus norādījumus, kā uzlabot tīklu drošību. Mūsu ieskatā, būtu nepieciešams skaidri atrunāt katras no iestādes kompetences robežām, lai nenonāktu situācijā, kurā vairākas iestādes sniedz savstarpēji pretrunīgus norādījumus par vienu un to pašu jautājumu. Nepieciešams izvērtēt trīs dažādu iestāžu iesaisti un to kompetences robežas publisko elektronisko sakaru tīklu drošības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ka IV nodaļā aprakstītas diez gan plašas un nekonkrētas uzraugošo iestāžu pilnvaras, turklāt procesā trūkst komersanta pozīcijas uzklausīšanas etapa, tādēļ aicinām pārskatīt un, nepieciešamības gadījumā, precizēt uzraugošo iestāžu kompetences robežas, kā arī paredzēt iespēju komersantam sniegt savas pozīcijas skaidrojumu attiecīgajām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komersanta pozīciju uzklausīšanu norādam, ka uzraudzības procesā iesaistītās iestādes savas rekomendācijas sniedz, balstoties uz komersana sniegto informāciju, kā arī nepieciešamības gadījumā lūdz precizēt/papildināt sniegto informāciju. Vienlaikus komersantam pirms vai pēc rekomendācijas vai atzinuma saņemšanas ir iespējas informēt iestādi, kas rekomendāciju vai atzinumu sniegusi, ja komersanta ieskatā papildu informācija varētu būt noderīga rekomendācijas vai atzinuma sagatavošanā.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Ārpakalpojumu drošība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Publisko elektronisko sakaru tīklu īpašnieks iespēju robežās veic piegādātāju diversificēšanu, lai nodrošinātu tā īpašumā vai tiesiskajā valdījumā esošo publisko elektronisko sakaru tīklu pieejamību, integritāti un konfidencialitāti.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konkrētāk skaidrot (piemēram, noteikumu projekta anotācijā), kādi tieši pienākumi publisko elektronisko sakaru tīklu īpašniekam izriet no noteikumu projekta 23.punkta. Nepieciešamības gadījumā lūdzam šo punktu precizēt, lai tiesību normas adresātam būtu nepārptoami skaidri tā pienākumi un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Publiskā elektronisko sakaru tīkla īpašnieks iespēju robežās veic piegādātāju diversificēšanu, lai nodrošinātu tā īpašumā vai tiesiskajā valdījumā esošo publiskā elektronisko sakaru tīkla pieejamību, integritāti un konfidencialitāti.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CERT.LV un Satversmes aizsardzības birojam ir tiesības pieprasīt publiskā elektronisko sakaru tīkla īpašniekam vai tiesiskajam valdītājam papildu informāciju, kā arī sniegto informāciju pārbaudīt jebkurā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 punktā ietverto iebildumu lūdzam papildināt noteikumu projekta anotācijā ietverto skaidrojumu. Norādām, ka anotācijā šobrīd norādīts vienīgi uz dokumentiem un informāciju par iepirkumu procesu, tomēr joprojām nav gūstama pārliecība, tai skaitā, vai šāda informācija var ietvert arī fizisko personu datus, kā arī no anotācijā saturiski skaidrotā viena piemēra nav gūstama pārliecība par informācijas iegūšanas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CERT.LV un Satversmes aizsardzības birojam ir tiesības pieprasīt publiskā elektronisko sakaru tīkla īpašniekam vai tiesiskajam valdītājam papildu informāciju, kā arī sniegto informāciju pārbaudīt jebkurā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CERT.LV un Satversmes aizsardzības birojam ir tiesības pieprasīt publiskā elektronisko sakaru tīkla īpašniekam vai tiesiskajam valdītājam papildu informāciju, kā arī sniegto informāciju pārbaudīt jebkurā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papildu informācija ietver papildu dokumentāciju un informāciju par iepirkumu procesu, vienlaikus no noteikumu projekta un anotācijas nav saprotams, vai informācija ietvers arī personas datus atbilstoši Eiropas Parlamenta un Padomes Regulai (ES) 2016/679 (2016. gada 27. aprīlis) par fizisku personu aizsardzību attiecībā uz personas datu apstrādi un šādu datu brīvu apriti un ar ko atceļ Direktīvu 95/46/EK (Vispārīgā datu aizsardzības regula) (turpmāk – Datu regula). Ievērojot minēto, lūdzam papildināt noteikumu projekta anotāciju, skaidrojot, vai papildu informācija ietver personas datus, apstiprinošas atbildes gadījumā lūdzam vismaz anotācijā norādīt personas datu veidus, kā arī norādīt tiesisko pamatu - likumu -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norādot gan tiesko pamatu, gan norādot personas datu veidus, kā arī skaidrojot, kā notiek datu apstrāde.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CERT.LV un Satversmes aizsardzības birojam ir tiesības pieprasīt publiskā elektronisko sakaru tīkla īpašniekam vai tiesiskajam valdītājam papildu informāciju, kā arī sniegto informāciju pārbaudīt jebkurā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CERT.LV un Satversmes aizsardzības birojam ir tiesības pieprasīt publisko elektronisko sakaru tīklu īpašniekam vai tiesiskajam valdītājam papildus informāciju, kā arī sniegto informāciju pārbaudīt jebkurā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kas ir noteikumu projekta 28.punktā minētā "papildus informācija", tai skaitā, vai šāda informācija var ietvert arī fizisko personu datus. Nepieciešamības gadījumā lūdzam attiecīgo regulējumu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 tiks skaņots ar Datu valsts inspekciju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CERT.LV un Satversmes aizsardzības birojam ir tiesības pieprasīt publiskā elektronisko sakaru tīkla īpašniekam vai tiesiskajam valdītājam papildu informāciju, kā arī sniegto informāciju pārbaudīt jebkurā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anotācijā norādīto, noteikumu projektā tiek pārņemtas </w:t>
            </w:r>
            <w:r w:rsidR="00000000" w:rsidRPr="00000000" w:rsidDel="00000000">
              <w:rPr>
                <w:i w:val="1"/>
                <w:rtl w:val="0"/>
              </w:rPr>
              <w:t xml:space="preserve">Eiropas Parlamenta un Padomes 2018.gada 11.decembra direktīvas Nr.2018/1972/ES par Eiropas Elektronisko sakaru kodeksa izveidi</w:t>
            </w:r>
            <w:r w:rsidR="00000000" w:rsidRPr="00000000" w:rsidDel="00000000">
              <w:rPr>
                <w:rtl w:val="0"/>
              </w:rPr>
              <w:t xml:space="preserve"> (turpmāk – Direktīva Nr. 2018/1972/ES)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šādā gadījumā noteikumu porjektu nepieciešams papildināt ar informatīvo atsauci uz Eiropas Savienības direktīvu, noformējot šo atsauci atbilstoši Ministru kabineta 2009. gada 3. februāra noteikumu Nr. 108 "Normatīvo aktu projektu sagatavošanas noteikumi" 168.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pārņemšana notikusi līdz ar Elektronisko sakaru likuma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- 18.01.2023.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29.punkts nosaka pārejas periodu – līdz 2030.gada 1.janvārim – attiecībā uz iekārtām un programmatūru, kas noteikumu spēkā stāšanas brīdī ir ekspluatācijā, projektēšanas, būvniecības, ierīkošanas, pārbūves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10.punkts, kurš satur aizliegumu izmantot tīkla elementus, par kuru drošību saņemts negatīvs Satversmes aizsardzības biroja atzinums, paredz aizliegumu ne tikai attiecībā uz iekārtām un programmatūru, bet arī attiecībā uz </w:t>
            </w:r>
            <w:r w:rsidR="00000000" w:rsidRPr="00000000" w:rsidDel="00000000">
              <w:rPr>
                <w:b w:val="1"/>
                <w:rtl w:val="0"/>
              </w:rPr>
              <w:t xml:space="preserve">ārpakalpojumu:</w:t>
            </w:r>
            <w:r w:rsidR="00000000" w:rsidRPr="00000000" w:rsidDel="00000000">
              <w:rPr>
                <w:rtl w:val="0"/>
              </w:rPr>
              <w:t xml:space="preserve"> “10. Publiskā elektronisko sakaru tīkla kritiskajās daļās neizmanto tādu iekārtu, programmatūru un </w:t>
            </w:r>
            <w:r w:rsidR="00000000" w:rsidRPr="00000000" w:rsidDel="00000000">
              <w:rPr>
                <w:b w:val="1"/>
                <w:rtl w:val="0"/>
              </w:rPr>
              <w:t xml:space="preserve">ārpakalpojumu</w:t>
            </w:r>
            <w:r w:rsidR="00000000" w:rsidRPr="00000000" w:rsidDel="00000000">
              <w:rPr>
                <w:rtl w:val="0"/>
              </w:rPr>
              <w:t xml:space="preserve">, par kuru ir saņemts Satversmes aizsardzības biroja atzinums, ka tā izmantošana var radīt draudus nacionālajai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attiecībā uz </w:t>
            </w:r>
            <w:r w:rsidR="00000000" w:rsidRPr="00000000" w:rsidDel="00000000">
              <w:rPr>
                <w:b w:val="1"/>
                <w:rtl w:val="0"/>
              </w:rPr>
              <w:t xml:space="preserve">ārpakalpojumu</w:t>
            </w:r>
            <w:r w:rsidR="00000000" w:rsidRPr="00000000" w:rsidDel="00000000">
              <w:rPr>
                <w:rtl w:val="0"/>
              </w:rPr>
              <w:t xml:space="preserve"> Noteikumu projektā nav paredzēts. Tādējādi, pēc iekārtu, programmatūras un ārpakalpojumu saraksta iesniegšanai Satversmes aizsardzības birojam novērtēšanai, saņemot tā atzinumu, ka ārrakalpojuma izmantošana var radīt draudus nacionālajai drošībai, elektronisko sakaru komersantam nekavējoties ir jāpārtrauc sadarbība ar attiecīgu ārpakalpojuma sniedzēju. Fiziski nomainīt ārpakalpojuma sniedzēju tik ātri nav iespējams, </w:t>
            </w:r>
            <w:r w:rsidR="00000000" w:rsidRPr="00000000" w:rsidDel="00000000">
              <w:rPr>
                <w:b w:val="1"/>
                <w:rtl w:val="0"/>
              </w:rPr>
              <w:t xml:space="preserve">tāpēc lūdzam Noteikumu projekta 29.punktu papildināt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10.punktā minētā prasība neizmantot ārpakalpojumu, par kuru saņemts Satversmes aizsardzības biroja atzinums, ka tā izmantošana var radīt draudus nacionālajai drošībai, tiek piemērota</w:t>
            </w:r>
            <w:r w:rsidR="00000000" w:rsidRPr="00000000" w:rsidDel="00000000">
              <w:rPr>
                <w:b w:val="1"/>
                <w:rtl w:val="0"/>
              </w:rPr>
              <w:t xml:space="preserve"> 6 mēnešu laikā</w:t>
            </w:r>
            <w:r w:rsidR="00000000" w:rsidRPr="00000000" w:rsidDel="00000000">
              <w:rPr>
                <w:rtl w:val="0"/>
              </w:rPr>
              <w:t xml:space="preserve"> pēc Satversmes aizsardzības biroja atzinuma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10.  punktā minētā prasība neizmantot tādu iekārtu un programmatūru, par kuru ir saņemts Satversmes aizsardzības biroja atzinums, ka tās izmantošana var radīt draudus nacionālajai drošībai, tiek piemērota no 2030. gada 1. janvāra. </w:t>
            </w:r>
            <w:r w:rsidR="00000000" w:rsidRPr="00000000" w:rsidDel="00000000">
              <w:rPr>
                <w:b w:val="1"/>
                <w:rtl w:val="0"/>
              </w:rPr>
              <w:t xml:space="preserve">Šo noteikumu 10.punktā minētā prasība neizmantot ārpakalpojumu, par kuru saņemts Satversmes aizsardzības biroja atzinums, ka tā izmantošana var radīt draudus nacionālajai drošībai, tiek piemērota 6 mēnešu laikā pēc Satversmes aizsardzības biroja atzinuma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Publiskā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11.</w:t>
            </w:r>
            <w:r w:rsidR="00000000" w:rsidRPr="00000000" w:rsidDel="00000000">
              <w:rPr>
                <w:rtl w:val="0"/>
              </w:rPr>
              <w:t xml:space="preserve">  punktā minētā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30. punkta un tā anotācijas joprojām nav skaidra nepieciešamība atsaukties uz publiskā elektronisko sakaru tīkliem, kuri šo noteikumu spēkā stāšanās brīdī ir nodoti ekspluatācijā, vai atrodas projektēšanas, būvniecības, ierīkošanas, pārbūves stadijā, jo nav saprotams, kādus konkrēti publiskā elektronisko sakaru tīklus 30. punktā ietvertais regulējums neskar un kāds tam ir pamatojums. Attiecīgi atkārtoti lūdzam noteikumu projekta 30. punktā norādīt vispārīgi uz publiskā elektronisko sakaru tīkliem vai noteikumu projekta anotācijā sniegt atbilstošu skaidrojumu par minēto, t.i., uz kādiem publiskā elektroniskā sakaru tīkliem 30. punkta regulējums neattiecas, attiecīgo risinājumu atbilstoši pamatojot.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pārejas periods attiecas tikai uz publisko elektronisko sakaru tīkliem, kuri šo noteikumu spēkā stāšanās brīdī ir nodoti ekspluatācijā, vai atrodas projektēšanas, būvniecības, ierīkošanas, pārbūves stadijā. Ir paredzēts, ka pārejas periods neattiecas uz tiem publisko elektronisko sakaru tīkliem, kuru projektēšanu komersants uzsāks pēc šo noteikumu spēkā stāšanās. Ja šajā punktā norādītu vispārīgi uz publisko elektronisko sakaru tīkliem, piemēram, “Šo noteikumu 10.  punktā minētā prasība publisko elektronisko sakaru tīklā neizmantot tādu iekārtu un programmatūru, par kuru ir saņemts Satversmes aizsardzības biroja atzinums, ka tās izmantošana var radīt draudus nacionālajai drošībai, tiek piemērota no 2030. gada 1. janvāra.”, tad tas liegtu iespēju piemērot noteikumu 10. punktu attiecībā uz publiskajiem elektroniskajiem sakaru tīkliem, kuru projektēšanu komersants uzsāks pēc šo noteikumu spēkā stāšanās līdz punktā noteiktajam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Publiskajiem elektronisko sakaru tīkliem, kuri šo noteikumu spēkā stāšanās brīdī ir nodoti ekspluatācijā, vai atrodas projektēšanas, būvniecības, ierīkošanas, pārbūves stadijā, šo noteikumu 10. punktā minētā prasība tiek piemērota no 2030.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paredzēt garāku pārejas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Publiskajiem elektronisko sakaru tīkliem, kuri šo noteikumu spēkā stāšanās brīdī ir nodoti ekspluatācijā, vai atrodas projektēšanas, būvniecības, ierīkošanas, pārbūves stadijā, šo noteikumu 10. punktā minētā prasība tiek piemērota no 2033.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taču izvirzītais pārejas periods tiek uzskatīts par pamatotu, lai saprātīgā laika termiņā ieviestu nepieciešamās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Publiskajiem elektronisko sakaru tīkliem, kuri šo noteikumu spēkā stāšanās brīdī ir nodoti ekspluatācijā, vai atrodas projektēšanas, būvniecības, ierīkošanas, pārbūves stadijā, šo noteikumu 10. punktā minētā prasība tiek piemērota no 2030.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noslēguma jautājumu 29.punktā minētais termiņš attiecas uz visiem publiskajiem elektronisko sakaru tīkliem - gan tiem, kas jau ir nodoti ekspluatācijā, gan tiem, kas tiks nodoti ekspuatācijā līdz 2030.gadam - lūdzam nepieciešamības gadījumā precziēt 29.punktu, piemēram, nosakot, ka noteikumu 10.pantu piemēro no 2030.gada 1.janvāra (neuzskaitot subjektus)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redakcijā šī noslēguma noteikuma mērķis nav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neizmantot tādus ārpakalpojumus, par kuriem ir saņemts Satversmes aizsardzības biroja atzinums, ka to izmantošana var radīt draudus nacionālajai drošībai, tiek piemērota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30.2. apakšpunktu, atbilstoši precizējot 30. punkta struktūru (t.i., neizdalot apakšpunktus). Norādām, ka atbilstoši juridiskās tehnikas prasībām tiesību normas piemērošanas kārtība norādāma vienīgi gadījumā, ja tā atšķiras no vispārējās kārtības (t.i., ka norma piemērojama no tās spēkā stāšanās brīža). Nepieciešamības gadījumā lūdzam atbilstošu skaidrojumu par attiecīgo kārtību sniegt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kritiskās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pielikuma 2. punktā ietvertās atsauces uz 3. paaudzes partnerības projekta tehniskajām specifikācijām TS 23.002, tai skaitā skaidrojot šo specifikāciju saistošo spēku un pieejamību publiskā elektronisko sakaru tīkla īpašniekiem. Ja atbilstošu skaidrojumu nav iespējams sniegt, lūdzam atbilstoši Ministru kabineta 2009. gada 3. februāra noteikumu Nr. 108 "Normatīvo aktu projektu sagatavošanas noteikumi" 131. punktam svītrot minētās atsauces, tā vietā nepieciešamības gadījumā pārņemot attiecīgās tehniskās specifikācijas prasības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kritiskās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kritiskās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noteikumu projekta pielikuma 1.11. punktu, kur ietverta atsauce uz to pašu apakšpunktu, ņemot vērā, ka virtualizācija, uz kuru norādīts 1.11. apakšpunktā, norādīta 1.10.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sakaru tīklu kritiskās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9. punktā ietverto iebildumu un lūdzam noteikumu projektā izdarīt informatīvo atsauci uz Eiropas Parlamenta un Padomes 2018. gada 11. decembra direktīvu Nr. 2018/1972/ES par Eiropas Elektronisko sakaru kodeksa izveidi  vai precizēt noteikumu projekta anotācijā ietverto informāciju. Proti, norādām, lai gan izziņā norādīts, ka attiecīgās direktīvas pārņemšana notikusi līdz ar Elektronisko sakaru likuma izstrādi, noteikumu projekta anotācijā, tai skaitā 5. sadaļā pretēji minētajam norādīts uz konkrētu attiecīgās direktīvas vienības (40. panta 1. punkta)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izziņas 12. punktā ietverto iebildumu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anotācijas 5.4. sadaļas 1. tabulā konkretizēt noteikumu projekta vienības, ar kurām pārņemtas minētās direktīvas 40.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vai noteikumu projektā paredzēts pārņemt Eiropas Komisijas 2019. gada 26. martā Ieteikuma (ES) 2019/534 par 5G tīklu kiberdrošību prasības, attiecīgā gadījumā lūdzam atbilstošu informāciju par pārņemšanu ietvert noteikumu projekta 5. sadaļas ailītē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 kā arī noteikumu projektā ir atsauce uz Elektronisko sakaru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Precizētajā anotācijā skaidrojam, ka Kodekss tiek pārņemts ar šo noteikumu 2., 3., 4. un 5.nodaļu. Vienlaikus problēmas aprakstā, kas pamato, kāpēc noteikumi ir vajadzīgi, ir iekļauta problēmātika, ka ESL skar tīklu drošības jautājumus, bet nav konkrēta regulējuma/prasību, tāpēc kā risinājumu piedāvājam 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noteikumiem netiek pārņemtas Eiropas Komisijas 2019. gada 26. martā Ieteikuma (ES) 2019/534 par 5G tīklu kiberdrošību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projekta anotācijas 5.4.apakšpunkta 1.tabulu, skaidri norādot, kuras</w:t>
            </w:r>
            <w:r w:rsidR="00000000" w:rsidRPr="00000000" w:rsidDel="00000000">
              <w:rPr>
                <w:i w:val="1"/>
                <w:rtl w:val="0"/>
              </w:rPr>
              <w:t xml:space="preserve"> Eiropas Parlamenta un Padomes 2018.gada 11.decembra direktīvas Nr.2018/1972/ES par Eiropas Elektronisko sakaru kodeksa izveidi </w:t>
            </w:r>
            <w:r w:rsidR="00000000" w:rsidRPr="00000000" w:rsidDel="00000000">
              <w:rPr>
                <w:rtl w:val="0"/>
              </w:rPr>
              <w:t xml:space="preserve">normas pārņemtas noteikumu projekta normās. Vēršam uzmanību, ka pretējā gadījumā nav iespējams vērtēt, vai dirketīvas normas pārņemtas pilnībā un korekti.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noteikumu projekta anotācijā minēto norādi uz Eiropas Komisijas 2019. gada 26. martā Ieteikumiem (ES) 2019/534 par 5G tīklu kiberdrošību, nepieciešamības gadījumā lūdzam norādīt, ja noteikumu projektā tiek ieviestas minēto ieteikumu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Elektronisko sakaru likuma 8.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pie tiesiskā pamatojuma ievietot atsauci (hipersaiti) uz Elektronisko sakaru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ievietota hipersaite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Elektronisko sakaru likuma</w:t>
            </w:r>
            <w:r w:rsidR="00000000" w:rsidRPr="00000000" w:rsidDel="00000000">
              <w:rPr>
                <w:rtl w:val="0"/>
              </w:rPr>
              <w:t xml:space="preserve"> 8. panta pirmo un otro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publisko elektronisko sakaru tīklu kritisko daļu un tajos izmantoto iekārtu, programmatūru un ārpakalpojumu drošības prasības, kompetentās iestādes drošības prasību piemērošanas uzraudzībai un to funkcijas uzraudzības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noteikumu projekta 1.punktu atbilstoši Ministru kabineta 2009. gada 3. februāra noteikumu Nr. 108 "Normatīvo aktu projektu sagatavošanas noteikumi" 100. punktam, precīzi atspoguļojot Elektronisko sakaru likuma 8.pantā ietverto pilnvarojumu Ministru kabineta noteikumu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ievietotas hipersaites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publisko elektronisko sakaru tīklu un tajos izmantoto iekārtu, programmatūru un ārpakalpojumu drošības prasības, kā arī kompetentās iestādes, kas uzrauga publisko elektronisko sakaru tīklu drošības prasību piemērošanu, un to funkcijas uzraudzības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ārpakalpojums – jebkura veida vienošanās starp publisko elektronisko sakaru tīklu īpašnieku un pakalpojuma sniedzēju, saskaņā ar kuru šis pakalpojuma sniedzējs nodrošina procesu, sniedz pakalpojumu vai veic citu darbību, ko citādi darītu pats publisko elektronisko sakaru tīklu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vienskaitlī terminu "publiskā elekronisko sakaru tīkla īpašnieks" atbilstoši Elektronisko sakaru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ārpakalpojums – jebkura veida vienošanās starp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īpašnieku un pakalpojuma sniedzēju, saskaņā ar kuru šis pakalpojuma sniedzējs nodrošina procesu, sniedz pakalpojumu vai veic citu darbību, ko citādi darītu pats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ārpakalpojums – jebkura veida vienošanās starp publiskā elektronisko sakaru tīkla īpašnieku un pakalpojuma sniedzēju, saskaņā ar kuru šis pakalpojuma sniedzējs nodrošina procesu, sniedz pakalpojumu vai veic citu darbību, ko citādi darītu pats publiskā elektronisko sakaru tīkla īpašnieks;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pamattīkls - datortīkla daļa, kas savieno tīklus, nodrošinot ceļu informācijas apmaiņai starp dažādiem LAN vai apakštīkliem.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projekta 2.9.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“pamattīkls – publiskā elektronisko sakaru tīkla daļa, kurā ir savienotas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pamattīkla iekārtas (pārraides, komutēšanas, maršrutēšanas,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multipleksēšanas vai ekvivalentas iekārtas) un kurai ir pievienots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tīkls, un kas nodrošina savienojumu ar citu elektronisko sakaru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pamattīkls - publiskā elektronisko sakaru tīkla daļa, kurā ir savienotas pamattīkla iekārtas (pārraides, komutēšanas, maršrutēšanas, multipleksēšanas vai ekvivalentas iekārtas) un kurai ir pievienots piekļuves tīkls, un kas nodrošina savienojumu ar citu elektronisko sakaru tīklu.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pamattīkls - datortīkla daļa, kas savieno tīklus, nodrošinot ceļu informācijas apmaiņai starp dažādiem LAN vai apakštīkliem.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jēdziena “pamattīkls” definīciju. Noteikumu projektā “pamattīkls” skaidrots kā “datortīkla daļa, kas savieno tīklus, nodrošinot ceļu informācijas apmaiņai starp dažādiem LAN vai apakštīkliem”, savukārt citos Latvijas normatīvajos aktos (piemēram, Sabiedrisko pakalpojumu regulēšanas komisijas padomes 15.09.2022. lēmuma Nr.1/22 “Vispārējās atļaujas un reģistrācijas noteikumi elektronisko sakaru nozarē” 2.21 apakšpunktā) šim jēdzienam ir cita definīcija – “publiskā elektronisko sakaru tīkla daļa, kurā ir savienotas pamattīkla iekārtas (pārraides, komutēšanas, maršrutēšanas, multipleksēšanas vai ekvivalentas iekārtas) un kurai ir pievienots piekļuves tīkls, un kas nodrošina savienojumus ar cita operatora elektronisko sakaru tīklu”. Mūsu ieskatā, šī definīcija ir precīzāka, tādēļ lūdzam atbilstoši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pamattīkls - publiskā elektronisko sakaru tīkla daļa, kurā ir savienotas pamattīkla iekārtas (pārraides, komutēšanas, maršrutēšanas, multipleksēšanas vai ekvivalentas iekārtas) un kurai ir pievienots piekļuves tīkls, un kas nodrošina savienojumus ar cita operatora elektronisko sakaru 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pamattīkls - publiskā elektronisko sakaru tīkla daļa, kurā ir savienotas pamattīkla iekārtas (pārraides, komutēšanas, maršrutēšanas, multipleksēšanas vai ekvivalentas iekārtas) un kurai ir pievienots piekļuves tīkls, un kas nodrošina savienojumu ar citu elektronisko sakaru tīklu.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pamattīkls - datortīkla daļa, kas savieno tīklus, nodrošinot ceļu informācijas apmaiņai starp dažādiem LAN vai apakštīkliem.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atrunāt lietoto saīsinājumu "LAN".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pamattīkls - publiskā elektronisko sakaru tīkla daļa, kurā ir savienotas pamattīkla iekārtas (pārraides, komutēšanas, maršrutēšanas, multipleksēšanas vai ekvivalentas iekārtas) un kurai ir pievienots piekļuves tīkls, un kas nodrošina savienojumu ar citu elektronisko sakaru tīklu.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elektronisko sakaru tīklu gala iekārtām pie klienta un citām galalietotāja iekārtām, izņemot gadījumu, kad gala iekārta ir publisko elektronisko sakaru tīkla īpašnieka īpašums, kas nodota klienta vai galalietotāja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3.3. apakšpunktu ar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pirms vārdiem “elektronisko sakaru tīklu”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publisko elektronisko sakaru tīklu gala iekārtām pie klienta un citām galalietotāja iekārtām, izņemot gadījumu, kad gala iekārta ir publisko elektronisko sakaru tīkla īpašnieka īpašums, kas nodota klienta vai galalietotāja lietošanā.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tīklu īpašnieka pienākumi risku vadības un mazināšanas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terminu "publisko elektronisko sakaru tīklu īpašnieka" vienskaitlī atbilstoši Elektronisko sakaru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īpašnieka pienākumi risku vadības un mazināšanas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 elektronisko sakaru tīkla īpašnieka pienākumi risku vadības un mazināšanas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pielikumu. Publisko elektronisko sakaru tīklu īpašnieks var identificēt kā kritiskas arī citas publiskā elektronisko sakaru tīkla daļas, kuras nav noteiktas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proekta pielikuma tekstā precizēt terminu "tīkls" attiecīgā locījumā atbilstoši noteikumu projekta pielikuma 1.punktā izveidotajam saīsinājumam.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Publiskā elektronisko sakaru tīkla īpašnieks var identificēt kā kritiskas arī citas publiskā elektronisko sakaru tīkla daļas, kuras nav noteiktas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pielikumu. Publisko elektronisko sakaru tīklu īpašnieks var identificēt kā kritiskas arī citas publiskā elektronisko sakaru tīkla daļas, kuras nav noteiktas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1.punktu aiz vārdiem "Par publisko elektronisko sakaru tīkla" papildināt ar vārdiem "(turpmāk - sakaru tīkls)"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publisko elektronisko sakaru tīkla (turpmāk - sakaru tīkls) kritisko daļu tiek atzīta tāda, ar kuru pilnībā vai daļēji īsteno vismaz vienu no šādām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Publiskā elektronisko sakaru tīkla īpašnieks var identificēt kā kritiskas arī citas publiskā elektronisko sakaru tīkla daļas, kuras nav noteiktas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pielikumu. Publisko elektronisko sakaru tīklu īpašnieks var identificēt kā kritiskas arī citas publiskā elektronisko sakaru tīkla daļas, kuras nav noteiktas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otrajā teikumā terminu "Publisko elektronisko sakaru tīklu īpašnieks" vienskaitlī atbilstoši Elektronisko sakaru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publiskā elektronisko sakaru tīkla kritiskās daļas saskaņā ar šo noteikumu pielikumu.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īpašnieks var identificēt kā kritiskas arī citas publiskā elektronisko sakaru tīkla daļas, kuras nav noteiktas šo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identificēt publiskā elektronisko sakaru tīkla kritiskās daļas saskaņā ar šo noteikumu ​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Publiskā elektronisko sakaru tīkla īpašnieks var identificēt kā kritiskas arī citas publiskā elektronisko sakaru tīkla daļas, kuras nav noteiktas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publisko elektronisko sakaru tīkla kritiskajās daļās izmantotajām iekārtām, programmatūru un ārpakalpojumiem un informēt Satversmes aizsardzības biroju par izmaiņām iepriekšminētajā sarakstā vismaz vienu mēnesi pirms jaunu publisko elektronisko sakaru tīklu būvniecības (projektēšanas stadijā), kā arī ekspluatācijā nodoto publisko elektronisko sakaru tīklu pārbūves vai atsevišķu iekārtu, programmatūras vai ārpakalpojuma sniedzēja nomaiņas;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vienskaitlī noteikumu projekta 4.4.apakšpunktā ietvērtos terminus: "publisko", "jaunu publisko elektronisko sakaru tīklu", "nodoto publisko elektronisko sakaru tīklu", "atsevišķu iekārtu" atbilstoši Elektronisko sakaru likumā lietotajai terminoloģijai, kā arī lūdzam papildināt pirms vārda "būvniecības" ar vārdiem "vai tā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 Satversmes aizsardzības birojam sarakstu ar publisk</w:t>
            </w:r>
            <w:r w:rsidR="00000000" w:rsidRPr="00000000" w:rsidDel="00000000">
              <w:rPr>
                <w:b w:val="1"/>
                <w:u w:val="single"/>
                <w:rtl w:val="0"/>
              </w:rPr>
              <w:t xml:space="preserve">ā</w:t>
            </w:r>
            <w:r w:rsidR="00000000" w:rsidRPr="00000000" w:rsidDel="00000000">
              <w:rPr>
                <w:rtl w:val="0"/>
              </w:rPr>
              <w:t xml:space="preserve"> elektronisko sakaru tīkla kritiskajās daļās izmantotajām iekārtām, programmatūru un ārpakalpojumiem un informēt Satversmes aizsardzības biroju par izmaiņām iepriekšminētajā sarakstā vismaz vienu mēnesi pirms jaun</w:t>
            </w:r>
            <w:r w:rsidR="00000000" w:rsidRPr="00000000" w:rsidDel="00000000">
              <w:rPr>
                <w:b w:val="1"/>
                <w:u w:val="single"/>
                <w:rtl w:val="0"/>
              </w:rPr>
              <w:t xml:space="preserve">a</w:t>
            </w:r>
            <w:r w:rsidR="00000000" w:rsidRPr="00000000" w:rsidDel="00000000">
              <w:rPr>
                <w:rtl w:val="0"/>
              </w:rPr>
              <w:t xml:space="preserve"> publiskā elektronisko sakaru tīkl</w:t>
            </w:r>
            <w:r w:rsidR="00000000" w:rsidRPr="00000000" w:rsidDel="00000000">
              <w:rPr>
                <w:b w:val="1"/>
                <w:u w:val="single"/>
                <w:rtl w:val="0"/>
              </w:rPr>
              <w:t xml:space="preserve">a vai tā daļas</w:t>
            </w:r>
            <w:r w:rsidR="00000000" w:rsidRPr="00000000" w:rsidDel="00000000">
              <w:rPr>
                <w:rtl w:val="0"/>
              </w:rPr>
              <w:t xml:space="preserve"> būvniecības (projektēšanas stadijā), kā arī ekspluatācijā nodot</w:t>
            </w:r>
            <w:r w:rsidR="00000000" w:rsidRPr="00000000" w:rsidDel="00000000">
              <w:rPr>
                <w:b w:val="1"/>
                <w:u w:val="single"/>
                <w:rtl w:val="0"/>
              </w:rPr>
              <w:t xml:space="preserve">a</w:t>
            </w:r>
            <w:r w:rsidR="00000000" w:rsidRPr="00000000" w:rsidDel="00000000">
              <w:rPr>
                <w:rtl w:val="0"/>
              </w:rPr>
              <w:t xml:space="preserve">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pārbūves vai atsevišķ</w:t>
            </w:r>
            <w:r w:rsidR="00000000" w:rsidRPr="00000000" w:rsidDel="00000000">
              <w:rPr>
                <w:b w:val="1"/>
                <w:u w:val="single"/>
                <w:rtl w:val="0"/>
              </w:rPr>
              <w:t xml:space="preserve">as</w:t>
            </w:r>
            <w:r w:rsidR="00000000" w:rsidRPr="00000000" w:rsidDel="00000000">
              <w:rPr>
                <w:rtl w:val="0"/>
              </w:rPr>
              <w:t xml:space="preserve"> iekārt</w:t>
            </w:r>
            <w:r w:rsidR="00000000" w:rsidRPr="00000000" w:rsidDel="00000000">
              <w:rPr>
                <w:b w:val="1"/>
                <w:u w:val="single"/>
                <w:rtl w:val="0"/>
              </w:rPr>
              <w:t xml:space="preserve">as</w:t>
            </w:r>
            <w:r w:rsidR="00000000" w:rsidRPr="00000000" w:rsidDel="00000000">
              <w:rPr>
                <w:rtl w:val="0"/>
              </w:rPr>
              <w:t xml:space="preserve">, programmatūras vai ārpakalpojuma sniedzēja nomaiņas;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iesniegt Satversmes aizsardzības birojam sarakstu ar publiskā elektronisko sakaru tīkla kritiskajās daļās izmantotajām iekārtām, programmatūru un ārpakalpojumiem saskaņā ar šo noteikumu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un informēt Satversmes aizsardzības biroju par izmaiņām iepriekšminētajā sarakstā vismaz vienu mēnesi pirms jauna publiskā elektronisko sakaru tīkla vai tā daļas būvniecības (projektēšanas stadijā), kā arī ekspluatācijā nodota publiskā elektronisko sakaru tīkla pārbūves vai atsevišķas iekārtas, programmatūras vai ārpakalpojuma sniedzēja nomaiņas;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nodrošināt publisko elektronisko sakaru tīkla drošību, kā arī sastādīt rīcības plānu publisko elektronisko sakaru tīkla nepārtrauktas darbības nodrošināšanai, tajā norādot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4.7.apakšpunktā, kā arī visā noteikumu tekstā un pielikumā, kur termins "publisko elektronisko sakaru tīkla" tiek lietots vienskaitlī, izteikt to šādā redakcijā "publiskā elektronisko sakaru tīkla" atbilstoši Elektronisko sakaru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publisk</w:t>
            </w:r>
            <w:r w:rsidR="00000000" w:rsidRPr="00000000" w:rsidDel="00000000">
              <w:rPr>
                <w:b w:val="1"/>
                <w:u w:val="single"/>
                <w:rtl w:val="0"/>
              </w:rPr>
              <w:t xml:space="preserve">ā</w:t>
            </w:r>
            <w:r w:rsidR="00000000" w:rsidRPr="00000000" w:rsidDel="00000000">
              <w:rPr>
                <w:rtl w:val="0"/>
              </w:rPr>
              <w:t xml:space="preserve"> elektronisko sakaru tīkla drošību, kā arī sastādīt rīcības plānu publisk</w:t>
            </w:r>
            <w:r w:rsidR="00000000" w:rsidRPr="00000000" w:rsidDel="00000000">
              <w:rPr>
                <w:b w:val="1"/>
                <w:u w:val="single"/>
                <w:rtl w:val="0"/>
              </w:rPr>
              <w:t xml:space="preserve">ā</w:t>
            </w:r>
            <w:r w:rsidR="00000000" w:rsidRPr="00000000" w:rsidDel="00000000">
              <w:rPr>
                <w:rtl w:val="0"/>
              </w:rPr>
              <w:t xml:space="preserve"> elektronisko sakaru tīkla nepārtrauktas darbības nodrošināšanai, tajā norādot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nodrošināt publiskā elektronisko sakaru tīkla drošību, kā arī izstrādāt rīcības plānu publiskā elektronisko sakaru tīkla nepārtrauktas darbības nodrošināšanai, tajā norādot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vispārīgas ziņas par publiskā elektronisko sakaru tīklu īpašnieku, tā juridisko adresi un elektronisko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4.7.1. apakšpunktā vārdu “tīklu”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“tīkla”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vispārīgas ziņas par publiskā elektronisko sakaru tīkla īpašnieku, tā juridisko adresi un elektronisko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vispārīgas ziņas par publisko elektronisko sakaru tīklu īpašnieku, tā juridisko adresi un elektronisko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vienskaitlī terminu "publisko elektronisko sakaru tīklu", jo pienākumam jāattiecas uz īpašnieku, kam ir vismaz viens tīkls, vienlaikus jāattiecas uz jebkuru īpašnieka tīklu. Elektronisko sakaru likumā netiek izdalīts elektronisko sakaru tīkls pēc tehnoloģijas, līdz ar to tīkls ietver visu iekārtu kopumu, kas nodrošina pārklājumu.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vispārīgas ziņas par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īpašnieku, tā juridisko adresi un elektronisk</w:t>
            </w:r>
            <w:r w:rsidR="00000000" w:rsidRPr="00000000" w:rsidDel="00000000">
              <w:rPr>
                <w:b w:val="1"/>
                <w:u w:val="single"/>
                <w:rtl w:val="0"/>
              </w:rPr>
              <w:t xml:space="preserve">ā</w:t>
            </w:r>
            <w:r w:rsidR="00000000" w:rsidRPr="00000000" w:rsidDel="00000000">
              <w:rPr>
                <w:rtl w:val="0"/>
              </w:rPr>
              <w:t xml:space="preserve">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vispārīgas ziņas par publiskā elektronisko sakaru tīkla īpašnieku, tā juridisko adresi un elektronisko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4.4.</w:t>
            </w:r>
            <w:r w:rsidR="00000000" w:rsidRPr="00000000" w:rsidDel="00000000">
              <w:rPr>
                <w:rtl w:val="0"/>
              </w:rPr>
              <w:t xml:space="preserve"> apakšpunktā oteiktā Satversmes aizsardzības biroja informēšana par izmaiņām sarakstā neattiecas uz ekspluatācijā nodoto publiskā elektronisko sakaru tīkla pārbūvi vai atsevišķu iekārtu un programmatūras nomaiņu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5. punktā vārdu “oteiktā” ar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“noteiktā” un vārdu “nodoto” ar vārdu “nodotā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4.4.</w:t>
            </w:r>
            <w:r w:rsidR="00000000" w:rsidRPr="00000000" w:rsidDel="00000000">
              <w:rPr>
                <w:rtl w:val="0"/>
              </w:rPr>
              <w:t xml:space="preserve"> apakšpunktā noteiktā Satversmes aizsardzības biroja informēšana par izmaiņām sarakstā neattiecas uz ekspluatācijā nodotā publiskā elektronisko sakaru tīkla pārbūvi vai atsevišķu iekārtu un programmatūras nomaiņu 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8.2. apakšpunktā minēto auditu veic kvalificēts un no iesaistītajām pusēm neatkarīgs tiesību subjekts, kura izvēli publisko elektronisko sakaru tīklu īpašnieka saskaņo ar CERT.LV Par audita rezultātiem informē CERT.LV. Audita izmaksas sedz un auditā konstatētos pārkāpumus novērš publisko elektronisko sakaru tīklu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9.punkta uztveramību atbilstoši Elektronisko sakaru likumā lietotajai terminoloģijai un izteikt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8.2. apakšpunktā minēto auditu veic kvalificēts un no iesaistītajām pusēm neatkarīgs tiesību subjekts, kura izvēli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w:t>
            </w:r>
            <w:r w:rsidR="00000000" w:rsidRPr="00000000" w:rsidDel="00000000">
              <w:rPr>
                <w:b w:val="1"/>
                <w:u w:val="single"/>
                <w:rtl w:val="0"/>
              </w:rPr>
              <w:t xml:space="preserve">s</w:t>
            </w:r>
            <w:r w:rsidR="00000000" w:rsidRPr="00000000" w:rsidDel="00000000">
              <w:rPr>
                <w:rtl w:val="0"/>
              </w:rPr>
              <w:t xml:space="preserve"> saskaņo ar CERT.LV</w:t>
            </w:r>
            <w:r w:rsidR="00000000" w:rsidRPr="00000000" w:rsidDel="00000000">
              <w:rPr>
                <w:b w:val="1"/>
                <w:u w:val="single"/>
                <w:rtl w:val="0"/>
              </w:rPr>
              <w:t xml:space="preserve">.</w:t>
            </w:r>
            <w:r w:rsidR="00000000" w:rsidRPr="00000000" w:rsidDel="00000000">
              <w:rPr>
                <w:rtl w:val="0"/>
              </w:rPr>
              <w:t xml:space="preserve"> Par audita rezultātiem informē CERT.LV. Audita izmaksas sedz un auditā konstatētos pārkāpumus novērš publisk</w:t>
            </w:r>
            <w:r w:rsidR="00000000" w:rsidRPr="00000000" w:rsidDel="00000000">
              <w:rPr>
                <w:b w:val="1"/>
                <w:u w:val="single"/>
                <w:rtl w:val="0"/>
              </w:rPr>
              <w:t xml:space="preserve">ā</w:t>
            </w:r>
            <w:r w:rsidR="00000000" w:rsidRPr="00000000" w:rsidDel="00000000">
              <w:rPr>
                <w:rtl w:val="0"/>
              </w:rPr>
              <w:t xml:space="preserve"> elektronisko sakaru tīkl</w:t>
            </w:r>
            <w:r w:rsidR="00000000" w:rsidRPr="00000000" w:rsidDel="00000000">
              <w:rPr>
                <w:b w:val="1"/>
                <w:u w:val="single"/>
                <w:rtl w:val="0"/>
              </w:rPr>
              <w:t xml:space="preserve">a</w:t>
            </w:r>
            <w:r w:rsidR="00000000" w:rsidRPr="00000000" w:rsidDel="00000000">
              <w:rPr>
                <w:rtl w:val="0"/>
              </w:rPr>
              <w:t xml:space="preserve">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Publisko elektronisko sakaru tīklu īpašnieka pienākumi incidentu novēršanas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9.2.</w:t>
            </w:r>
            <w:r w:rsidR="00000000" w:rsidRPr="00000000" w:rsidDel="00000000">
              <w:rPr>
                <w:rtl w:val="0"/>
              </w:rPr>
              <w:t xml:space="preserve">  apakšpunktā minēto auditu veic kvalificēts un no iesaistītajām pusēm neatkarīgs tiesību subjekts, kura izvēli publisko elektronisko sakaru tīklu īpašnieka saskaņo ar CERT.LV Par audita rezultātiem informē CERT.LV. Audita izmaksas sedz un auditā konstatētos pārkāpumus novērš publisko elektronisko sakaru tīklu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10. punktā vārdu “īpašnieka”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“īpašnieks”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Publiskā elektronisko sakaru tīkla kritiskajās daļās  neizmanto tādas iekārtas, programmatūras un ārpakalpojumus, par kuriem ir saņemts Satversmes aizsardzības biroja atzinums, ka to izmantošana var radīt draudus nacionālai drošībai.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zteikt noteikumu projekta 11. punktu šādā redakcijā: “ Publiskā elektronisko sakaru tīkla kritiskajās daļās neizmanto tādu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programmatūru vai ārpakalpojumu, par kuru ir saņemts Satversmes aizsardzības biroja atzinums, ka tā izmantošana var radīt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 drošībai.”. Precizējums nepieciešams, lai saskaņotu noteikumu 1-2projekta 11. punkta redakciju ar 12. punktu, kurā vārdi “iekārta”, “programmatūra” un “ārpakalpojuma sniedzējs” ir lietoti vienskaitlī;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Publiskā elektronisko sakaru tīkla kritiskajās daļās neizmanto tādu iekārtu, programmatūru un ārpakalpojumu, par kuru ir saņemts Satversmes aizsardzības biroja atzinums, ka tā izmantošana var radīt draudus nacionālajai drošībai.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iespējamība, ka iekārtas vai programmatūras izstrādātājs, ražotājs vai izplatītājs vai ārpakalpojuma sniedzējs varētu tikt pakļauts ietekmei no valsts, kas nav Eiropas Savienības (turpmāk - ES), Ziemeļatlantijas līguma organizācijas (NATO), Eiropas Ekonomikas zonas (EEZ) dalībvalsts: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12.1. apakšpunktā vārdus un simbolus “izstrādātājs, ražotājs vai izplatītājs vai ārpakalpojuma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sniedzējs” ar vārdiem un simboliem “izstrādātājs, ražotājs, izplatītājs vai ārpakalpojuma 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iespējamību, ka iekārtas vai programmatūras izstrādātājs, ražotājs, izplatītājs vai ārpakalpojuma sniedzējs varētu tikt pakļauts ietekmei no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aizsargāt visus datus, kas tiek glabāti elektroniski;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 punkts noteic, ka publisko elektronisko sakaru tīklu īpašniekam, izmantojot tehniskus risinājumus, ir  pienākums aizsargāt visus datus, kas tiek glabāti elektroniski. Datu valsts inspekcija (turpmāk - Inspekcija) norāda, ka no minētā punkta nav viennozīmīgi skaidrs jēdziens "dati" tvērums, proti,  vai ar "datiem" tiek saprasti arī personas dati Eiropas Parlamenta un Padomes Regulas (ES) 2016/679 (2016. gada 27. aprīlis) par fizisku personu aizsardzību attiecībā uz personas datu apstrādi un šādu datu brīvu apriti un ar ko atceļ Direktīvu 95/46/EK (Vispārīgā datu aizsardzības regula) (turpmāk – Datu regula) 4. panta 1. punkta izpratnē. Vienlaikus norādām, ka gan Datu regula noteic nosacījumus datu apstrādei, gan arī izstrādātais noteikumu projekts noteic konkrētas drošības prasības publisko elektronisko sakaru tīklam, līdz ar to Inspekcijas ieskatā 17.1. punkts ir bez juridiskās slodzes, jo nenoteic papildu tiesības vai pienākumus. Ievērojot minēto, izsakām priekšlikumu izvērtēt noteikumu projekta 17.1. punkta lietderību un pamatotību, nepieciešamības gadījumā minēto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jo šo noteikumu ietvaros tiek noteikta prasība aizsargāt visa veida informāciju, kas tiek glabāta elektroniski, nodrošinot nepieciešamās kiberdrošības prasības, ne tikai personas datu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aizsargāt visu informāciju, kas tiek glabāti elektroniski;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Pirms lēmuma par ārpakalpojumu iegādi pieņemšanas publisko elektronisko sakaru tīklu īpašnieks izvērtē piegādātājus un, ņemot vērā pakalpojuma kvalitātes un drošības, tostarp pieejamības prasības, vērtē riskus, kā arī nosaka pakalpojuma izbeigšanas stratēģiju.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18. un 21.punktā ietvērto terminu "ārpakalpojumu" lietot vienskaitlī, jo pienākumam jābūt attiecināmam arī atsevišķa ārpakalpojuma iegādes gadījumā, lai izslēgtu interpretāciju, ka minētie noteikumu projekta punkti attiecas tikai uz gadījumiem, kad tiek iegādāti vairāki ārpakalpojumi.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Pirms lēmuma par ārpakalpojuma iegādi pieņemšanas publiskā elektronisko sakaru tīkla īpašnieks izvērtē piegādātājus un, ņemot vērā pakalpojuma kvalitātes un drošības, tostarp pieejamības prasības, vērtē riskus, kā arī nosaka pakalpojuma izbeigšanas stratēģiju.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ārpakalpojuma sniedzējs atsevišķus pakalpojuma elementus deleģē citam pakalpojumu sniedzējam, tad apakšuzņēmējs ievēro visas drošības prasības, kas noteiktas ārpakalpojuma sniedzējam. Ārpakalpojuma sniedzējs ir pilnībā atbildīgs par apakšuzņēmējiem deleģēto pakalpojumu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"deleģē" aizstāt ar piemērotāku terminu, piemēram, "pērk" (pakalpojumus) vai tamlīdzīgi. Vēršam uzmanību, ka normatīvajos aktos terminu "deleģēt" parasti izmanto, lai aprakstītu valsts pārvaldes uzdevumu nodošanu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ņems vērā, jo noteikumu projekta kontekstā vārds "deleģēt" tomēr uzskatāms par atbilstošu izvēli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ārpakalpojuma sniedzējs atsevišķus pakalpojuma elementus deleģē citam pakalpojumu sniedzējam, tad apakšuzņēmējs ievēro visas drošības prasības, kas noteiktas ārpakalpojuma sniedzējam. Ārpakalpojuma sniedzējs ir pilnībā atbildīgs par apakšuzņēmējiem deleģēto pakalpojumu uzraudzību.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izvērtē publiskajos elektronisko sakaru tīklu kritiskajās daļās izmantoto iekārtu, programmatūru un ārpakalpojumu iespējamo ietekmi uz nacionālo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28.1. apakšpunktā vārdu “publiskajos” ar vārdu “publisko”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izvērtē publisko elektronisko sakaru tīklu kritiskajās daļās izmantoto iekārtu, programmatūru un ārpakalpojumu iespējamo ietekmi uz nacionālo drošību;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Publiskā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11.</w:t>
            </w:r>
            <w:r w:rsidR="00000000" w:rsidRPr="00000000" w:rsidDel="00000000">
              <w:rPr>
                <w:rtl w:val="0"/>
              </w:rPr>
              <w:t xml:space="preserve">  punktā minētā prasība: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(Satversmes aizsardzības birojs - 25.11.2022.)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11. punkta precizējumu, izteikt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30.1. un 30.2.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neizmantot tādu iekārtu vai programmatūru, par kuru ir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biroja atzinums, ka tās izmantošana var radīt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draudus nacionālajai drošībai, tiek piemērota no 2030.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neizmantot tādu ārpakalpojumu, par kuru ir saņemts Satversmes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biroja atzinums, ka tā izmantošana var radīt draudus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drošībai, tiek piemērota no šo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Publisko elektronisko sakaru tīkliem, kuri šo noteikumu spēkā stāšanās brīdī ir nodoti ekspluatācijā, vai atrodas projektēšanas, būvniecības, ierīkošanas, pārbūves stadijā, šo noteikumu </w:t>
            </w:r>
            <w:r w:rsidR="00000000" w:rsidRPr="00000000" w:rsidDel="00000000">
              <w:rPr>
                <w:rtl w:val="0"/>
              </w:rPr>
              <w:t xml:space="preserve">10.</w:t>
            </w:r>
            <w:r w:rsidR="00000000" w:rsidRPr="00000000" w:rsidDel="00000000">
              <w:rPr>
                <w:rtl w:val="0"/>
              </w:rPr>
              <w:t xml:space="preserve">  punktā minētā prasība neizmantot tādu iekārtu un programmatūru, par kuru ir saņemts Satversmes aizsardzības biroja atzinums, ka tās izmantošana var radīt draudus nacionālajai drošībai, tiek piemērota no 2030. gada 1. janvāra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iesniedz Satversmes aizsardzības birojam šo noteikumu 4.4. apakšpunktā minēto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izveidot iekšējās atsauces (ar hipersaiti) uz noteikumu projekta punktiem, kur tādas izmantotas (5., 6., 7., 9., 11.punkts, 26.1., 29., 30.1. un 30.2.pakšpunkts).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iesniedz Satversmes aizsardzības birojam šo noteikumu </w:t>
            </w:r>
            <w:r w:rsidR="00000000" w:rsidRPr="00000000" w:rsidDel="00000000">
              <w:rPr>
                <w:rtl w:val="0"/>
              </w:rPr>
              <w:t xml:space="preserve">4.4.</w:t>
            </w:r>
            <w:r w:rsidR="00000000" w:rsidRPr="00000000" w:rsidDel="00000000">
              <w:rPr>
                <w:rtl w:val="0"/>
              </w:rPr>
              <w:t xml:space="preserve"> apakšpunktā minēto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1.3.punktā norādīta Eiropas Savienības 2020. gada 29. janvārī publicētā ES </w:t>
            </w:r>
            <w:r w:rsidR="00000000" w:rsidRPr="00000000" w:rsidDel="00000000">
              <w:rPr>
                <w:i w:val="1"/>
                <w:rtl w:val="0"/>
              </w:rPr>
              <w:t xml:space="preserve">rīkkopa 5G drošībai</w:t>
            </w:r>
            <w:r w:rsidR="00000000" w:rsidRPr="00000000" w:rsidDel="00000000">
              <w:rPr>
                <w:rtl w:val="0"/>
              </w:rPr>
              <w:t xml:space="preserve">, tomēr no anotācijas nav viennozīmīgi skaidrs, tieši kādas rekomendācijas tiek iekļautas noteikumu projektā, un kā tās saistītas, piemēram, ar CERT un Satversmes aizsardības birojam piešķirtajām tiesībām. Aicinām precizēt noteikumu porjekta anotāciju, skaidrāk strukturējot informāciju par noteikumu projektā iekļauto regulējumu, tā būtību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22-TA-2017</w:t>
    </w:r>
    <w:r>
      <w:br/>
    </w:r>
    <w:r w:rsidR="00000000" w:rsidRPr="00000000" w:rsidDel="00000000">
      <w:rPr>
        <w:rtl w:val="0"/>
      </w:rPr>
      <w:t xml:space="preserve">01.02.2023. 14.43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22-TA-2017</w:t>
    </w:r>
    <w:r>
      <w:br/>
    </w:r>
    <w:r w:rsidR="00000000" w:rsidRPr="00000000" w:rsidDel="00000000">
      <w:rPr>
        <w:rtl w:val="0"/>
      </w:rPr>
      <w:t xml:space="preserve">01.02.2023. 14.43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Izziņa_22-TA-2017.docx</dc:title>
</cp:coreProperties>
</file>

<file path=docProps/custom.xml><?xml version="1.0" encoding="utf-8"?>
<Properties xmlns="http://schemas.openxmlformats.org/officeDocument/2006/custom-properties" xmlns:vt="http://schemas.openxmlformats.org/officeDocument/2006/docPropsVTypes"/>
</file>