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24-TA-2697: Instrukcijas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20. septembra instrukcijā Nr. 3 "Ārvalstu finanšu instrumentu finansētu civiltiesisku līgumu izstrādes un slēgšanas instrukcija valsts tiešās pārvaldes iestādēs"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par instrukcijas projekta papildināšanu ar jaunu 3.</w:t>
            </w:r>
            <w:r w:rsidR="00000000" w:rsidRPr="00000000" w:rsidDel="00000000">
              <w:rPr>
                <w:vertAlign w:val="superscript"/>
                <w:rtl w:val="0"/>
              </w:rPr>
              <w:t xml:space="preserve">1 </w:t>
            </w:r>
            <w:r w:rsidR="00000000" w:rsidRPr="00000000" w:rsidDel="00000000">
              <w:rPr>
                <w:rtl w:val="0"/>
              </w:rPr>
              <w:t xml:space="preserve">punktu, kas netika ņemts vērā, norādot, ka šāda grozījuma veikšanai būtu nepieciešams jauns Finanšu ministrijas virzīts projekts. Normatīvisma mazināšanas nolūkā būtu racionāli ministrijas piedāvāto  3.</w:t>
            </w:r>
            <w:r w:rsidR="00000000" w:rsidRPr="00000000" w:rsidDel="00000000">
              <w:rPr>
                <w:vertAlign w:val="superscript"/>
                <w:rtl w:val="0"/>
              </w:rPr>
              <w:t xml:space="preserve">1</w:t>
            </w:r>
            <w:r w:rsidR="00000000" w:rsidRPr="00000000" w:rsidDel="00000000">
              <w:rPr>
                <w:rtl w:val="0"/>
              </w:rPr>
              <w:t xml:space="preserve"> punkta redakciju iestrādāt šajā Ekonomikas ministrijas virzītajā projektā, ja šāda grozījuma veikšanai pēc būtības nav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instrukciju ar 3.</w:t>
            </w:r>
            <w:r w:rsidR="00000000" w:rsidRPr="00000000" w:rsidDel="00000000">
              <w:rPr>
                <w:vertAlign w:val="superscript"/>
                <w:rtl w:val="0"/>
              </w:rPr>
              <w:t xml:space="preserve">1</w:t>
            </w:r>
            <w:r w:rsidR="00000000" w:rsidRPr="00000000" w:rsidDel="00000000">
              <w:rPr>
                <w:rtl w:val="0"/>
              </w:rPr>
              <w:t xml:space="preserve"> punktu šādā redakcijā: “Gadījumā, ja ārvalstu finanšu instrumenta nosacījumi paredz atšķirīgus nosacījumus no instrukcijā noteiktajiem, pasūtītājs ir tiesīgs piemērot ārvalstu finanšu instrumenta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jautājums pārsniedz EM kompetenci, EM nevar pieņemt lēmumu par šāda grozījuma veikšanu. Jautājums skatāms Valsts sekretāru sanāksmē.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"Valsts nekustamie īpašumi" vērš uzmanību, ka izsrādātajā Instrukcijas projektā nav iestrādāti  visi nepieciešamie grozījumi, kas izriet no Ministru kabienta noteikumu projekta  "Grozījumi Ministru kabineta 2022. gada 5. jūlija noteikumos Nr. 419 "Noteikumi par publisko būvdarbu līgumos obligāti ietveramajiem noteikumiem un to saturu" (23-TA-2350; turpmāk – Noteikumu projekts), kuri izskatīti Valsts sekretāru 2024.gada 3.oktobra sanāksmē (protokols Nr. 32, 1. §. ) un kuri pēc 5.1. apakšpunktā dotā uzdevuma izpildes tiks iesniegti izskatīšanai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Ministru kabineta 2016. gada 20. septembra instrukcijas Nr. 3  125. punkts “Līgumā neparedz piegādātāja garantijas saistību aprobežojumus noteiktas summas apmērā. Par šādu aprobežojumu neuzskata līguma noteikumu, saskaņā ar kuru piegādātāja garantijas saistības nepārsniedz līgumcenu.” ir pretrunā Noteikumu projekta 12. punktam, kurš paredz Noteikumu 28.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Garantijas saistību nodrošinājums, ja tāds ir paredzēts, ir nosakāms līdz 5 % no līgumcenas par normatīvajos aktos būvniecības jomā noteikto minimālo garantijas termiņu. 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veikt precizējumus un/vai papildinājumus Instrukcijas projektā, ņemot vērā Noteikumu projektā paredzētās izmaiņas Ministru kabineta 2022. gada 5. jūlija noteikumos Nr. 419 "Noteikumi par publisko būvdarbu līgumos obligāti ietveramajiem noteikumiem un to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instrukcijas 125.punkts aizliedz ierobežot </w:t>
            </w:r>
            <w:r w:rsidR="00000000" w:rsidRPr="00000000" w:rsidDel="00000000">
              <w:rPr>
                <w:b w:val="1"/>
                <w:rtl w:val="0"/>
              </w:rPr>
              <w:t xml:space="preserve">garantijas saistības. </w:t>
            </w:r>
            <w:r w:rsidR="00000000" w:rsidRPr="00000000" w:rsidDel="00000000">
              <w:rPr>
                <w:rtl w:val="0"/>
              </w:rPr>
              <w:t xml:space="preserve">Proti, līgumā nav tiesības iekļaut regulējumu, kas no garantijas saistībām izslēdz kādu preču, pakalpojuma vai būvdarbu daļu, vai aprobežot šīs saistības par konkrēto summu. Piemēram, būvdarbu gadījumā nav tiesības noteikt, ka garantija neattiecas uz kādu būves daļu, vai kopējās garantijas saistības nepārsniedz kādu konkrētu summu. Savukārt Ministru kabineta 2022.gada 5.jūlija noteikumu Nr. 419 "Noteikumi par publiskajos būvdarbu līgumos obligāti ietveramajiem noteikumiem un to saturu" ierobežo garantijas saistību </w:t>
            </w:r>
            <w:r w:rsidR="00000000" w:rsidRPr="00000000" w:rsidDel="00000000">
              <w:rPr>
                <w:b w:val="1"/>
                <w:rtl w:val="0"/>
              </w:rPr>
              <w:t xml:space="preserve">nodrošinājuma apmēru. </w:t>
            </w:r>
            <w:r w:rsidR="00000000" w:rsidRPr="00000000" w:rsidDel="00000000">
              <w:rPr>
                <w:rtl w:val="0"/>
              </w:rPr>
              <w:t xml:space="preserve">Proti, garantijas saistības ir spēkā pilnā apjomā, savukārt garantijas saistību nodrošinājums (ieturējums, bankas garantija vai apdrošināšana) tiek iesniegta par summu, kas nepārsniedz 5% no līgumcenas. Garantijas saistību nodrošinājums nav tas pats, kas garantijas saistības. Šajā gadījumā pretruna neveidojas. EM rūpīgi izskatīja visu instrukciju un uzskata, ka piedāvatie grozījumi novērš visas iespējamas pretrunas.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CFLA kā attīstības sadarbības aģentūras pieredzi, ka reizēm ārvalsts finanšu instrumentu līgumos par finansējuma piešķiršanu var būt paredzēti atšķirīgi nosacījumi no instrukcijā noteiktajiem, aicinām papildināt instrukciju ar 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ārvalstu finanšu instrumenta nosacījumi paredz atšķirīgus nosacījumus no instrukcijā noteiktajiem, pasūtītājs ir tiesīgs piemērot ārvalstu finanšu instrumenta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attiecas uz instrukcijas piemērošanu un pārsniedz Ekonomikas ministrijas kompetenci, kā arī Valsts sekretāru sanāksmē dotā uzdevuma tvērumu. Proti, Valsts sekretāru sanāksmē Ekonomikas ministrijai ir uzdots pārskatīt Instrukcijas regulējumu, ņemot vērā Ministru kabineta 2022.gada 5.jūlija noteikumu Nr. 419 "Noteikumi par publisko būvdarbu līgumos obligāti ietveramajiem noteikumiem un to saturu" regulējumu, kā arī plānoto grozījumu regulējumu. Ņemot vērā, ka Instrukcijas autors ir Finanšu ministrija, kā arī apstākli, ka Instrukcija attiecas uz visa veida publiskiem līgumiem, EM uzskata, ka saturiski grozījumi Instrukcijā būtu jāizstrādā un jāvirza FM kā kompetentai institūcijai.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Savukārt projekta anotācijā projekta steidzamība nav pamatota vispār.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Tieslietu ministrijas ieskatā konkrētajam projektam trūkst steidzamības pamatojuma pēc būtības. Tādēļ Neatbalstām projekta tālāku virzību un lūdzam to virzīt saskaņošanai vispārējā kārtībā atbilstoši Ministru kabineta 2021. gada 7. septembra noteikumu Nr. 606 "Ministru kabineta kārtības rullis" 55.1.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Instrukcijas grozījumus virzīja steidzamības kārtā, ņemot vērā VSS uzdevumu tiesību akta projektu "Grozījumi Ministru kabineta 2022.gada 5.jūlija noteikumos Nr. 419 "Noteikumi par publisko būvdarbu līgumos obligāti ietveramajiem noteikumiem un to saturu" līdz šā gada 3.decembrim. Papildus Valsts sekretāru sanāksmē tika izteikts lūgumus virzīt vienotā paketē grozījumus abos tiesību aktos - MK noteikumu projektu un grozījumus Instrukcijā. Ņemot vērā VSS noteikto termiņu, Instrukcijas grozījumu izstrāde un saskaņošana nav iespējama parastajā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grozījumi izstrukcija neievieš jaunu regulējumu, tikai salāgo tiesību akta saturu ar augstākstāvošā tiesību akta regulējumu.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Savukārt projekta anotācijā projekta steidzamība nav pamatota vispār. Tādējādi Tieslietu ministrijas ieskatā konkrētajam projektam trūkst steidzamības pamatojuma pēc būtības. Tādējādi aicinām pamatot projekta steidzamību tā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54.punktu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Līgumos, izņemot publiskos būvdarbu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54. punkta (1.teikuma) redakcija ir neskaidra un nav viennozīmīgi saprotams, uz kāda veida līgumiem (piegādes, pakalpojuma vai būvdarbu) tā tiek attiecināta. Piedāvājam to precizēt, izsakot šādi: "Publiskos piegādes un pakalpojuma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Publiskos piegādes un pakalpojuma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54.punktu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Publiskos piegādes un pakalpojuma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sekretāru 2024.gada 3.oktobra sanāksmē (protokols Nr. 32, 1. §., 2. punkts) dotajam uzdevumam - Ekonomikas ministrijai sadarbībā ar Finanšu ministriju, nepieciešamības gadījumā iesaistot arī citas ministrijas, un būvniecības nozari izvērtēt Ministru kabineta 2016. gada 20. septembra instrukcijā Nr.3 "Ārvalstu finanšu instrumentu finansētu civiltiesisku līgumu izstrādes un slēgšanas instrukcija valsts tiešās pārvaldes iestādēs" (turpmāk – Instrukcija) ietvertā regulējuma aktualitāti un savstarpēju atbilstību citiem normatīvajiem aktiem, un, ja nepieciešams, attiecīgi precizēt Instrukciju vai atzīt to par aktualitāti zaudējušu.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par Instrukcijā ietvertā regulējuma aktualitāti un nepieciešamību to precizēt, nevis atzīt to par aktualitāti zaudējuši.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norādot pamatojumu Instrukcijas lietderībai.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24-TA-2697</w:t>
    </w:r>
    <w:r>
      <w:br/>
    </w:r>
    <w:r w:rsidR="00000000" w:rsidRPr="00000000" w:rsidDel="00000000">
      <w:rPr>
        <w:rtl w:val="0"/>
      </w:rPr>
      <w:t xml:space="preserve">14.12.2024. 12.53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24-TA-2697</w:t>
    </w:r>
    <w:r>
      <w:br/>
    </w:r>
    <w:r w:rsidR="00000000" w:rsidRPr="00000000" w:rsidDel="00000000">
      <w:rPr>
        <w:rtl w:val="0"/>
      </w:rPr>
      <w:t xml:space="preserve">14.12.2024. 12.53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Izziņa_24-TA-2697.docx</dc:title>
</cp:coreProperties>
</file>

<file path=docProps/custom.xml><?xml version="1.0" encoding="utf-8"?>
<Properties xmlns="http://schemas.openxmlformats.org/officeDocument/2006/custom-properties" xmlns:vt="http://schemas.openxmlformats.org/officeDocument/2006/docPropsVTypes"/>
</file>