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24-TA-491: Noteikumu 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Aizsardzības ministrijas un Dānijas Karalistes Aizsardzības ministrijas saprašanās memorandu par Daudznacionālā divīzijas štāba “Ziemeļi” darbības pamatprincipiem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Aizsardzības ministrijas un Dānijas Karalistes Aizsardzības ministrijas saprašanās memorandu par Daudznacionālā divīzijas štāba “Ziemeļi” darbības pamatprincipiem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starpvalstu līguma projektā ir ietverti jautājumi, kas skar Satversmes aizsardzības biroja kompetenci, SAB sniedz savu atzinumu un izsaka iebildumu par līguma projekta angļu valodas un latviešu valodas teksta redakciju, kā arī par līguma A pielikuma punkta redakciju. Vienlaikus SAB sniedz priekšlikumu līguma projekta 12.punkta redakcijai angļu valodā, attiecīgi lūdzot precizēt līguma tekstu un A pielikumu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teksts papildināts ar nosacījumiem attiecībā uz klasificētās informācijas aizsardzību (E pielikums). Attiecīgi iedibināta arī Drošības koordinācijas padome (5.punkts), kas pārrauga un koordinē klasificētās informācijas aizsardzību daudznacionālajā divīzijas štābā "Ziemeļi".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Aizsardzības ministrijas un Dānijas Karalistes Aizsardzības ministrijas saprašanās memorandu par Daudznacionālā divīzijas štāba “Ziemeļi” darbības pamatprincipiem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HQ_MND_N_līgums_angliski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līguma pielikumu "A" "Resource Responsibilities of the Framework Nations" 3. punktu ar jaunu e) apakšpunktu SAB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Oversight and inspections on the protection of classified information."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HQ_MND_N_līgums_angliski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līguma projekta 12. punkta "12.Security" saturu mainīt, dzēšot esošo projekta punkta tekstu un aizstājot to ar jaunu tekstu SAB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With regard to the protection of NATO, EU and national classified information, the Host Nation of each MND N element shall be responsible for the security oversight of that MND N element. The oversight decisions made by the Host Nation NSA shall be binding to MND 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Taking into account the multi-national nature of MND N operation, the NSAs of the Framework Nations shall consult in a coordinated manner. The NSAs of the Framework Nations shall agree in writing on the terms of reference of security oversight coordination.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The MND N element shall operate within the Central Registry System of their host nation, unless other arrangements have been made and agreed upon by the Host Nation NSA.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Computer Information System (CIS) Security oversight may not be dependent on the Host Nation principle, but rather on the principle of CIS provider nation. Agreement on CIS Security oversight shall be done in writing by the NSAs of the Framework Nations.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Security Policy shall be the applicable regulatory framework with regard to the protection of NATO classified information. National law shall be the applicable regulatory framework with regard to the protection of other types of classified information and may be applied to NATO classified information, insofar such application does not contradict the general principles of NATO Security Policy and does not create an unproportional burden on the operation of MND 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teksts papildināts ar nosacījumiem attiecībā uz klasificētās informācijas aizsardzību (E pielikums). Attiecīgi iedibināta arī Drošības koordinācijas padome (5.punkts), kas pārrauga un koordinē klasificētās informācijas aizsardzību daudznacionālajā divīzijas štābā "Ziemeļi".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Līgums_angliski_HQ_ MND_N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saprašanās memoranda 1. panta 1.4. daļā minēto, ka "šī FN MOU noteikumi nerada un nav paredzēti, lai radītu nekādas juridiski saistošas tiesības un/vai pienākumus saskaņā ar starptautiskajām tiesībām un/vai katra Dalībnieka attiecīgajiem nacionālajiem tiesību aktiem (..)", aicinām svītrot minētajā daļā ietverto norādi, ka konflikta gadījumā starptautiskās tiesības un nacionālie tiesību akti būs noteicošie, jo tā ir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 jo saprašanās memoranda projekts atrodas saskaņošanas stadijā, kurā no pusēm  tiek sagaidīta tikai kritiski svarīgu iebildumu izteikšana. Izvērtējot norādes saglabāšanas ietekmi, netiek saskatīts, ka tā varētu radīt risku saprašanās memoranda nosacījumu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Līgums_angliski_HQ_ MND_N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saprašanās memoranda E pielikumā atsauci uz NATO drošības politiku aizstāt ar tiesību aktu (starptautisko līgumu), uz kā pamata attiecīgie NATO dokumenti tiek izdoti (piem., Ziemeļatlantijas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drošības politika (</w:t>
            </w:r>
            <w:r w:rsidR="00000000" w:rsidRPr="00000000" w:rsidDel="00000000">
              <w:rPr>
                <w:i w:val="1"/>
                <w:rtl w:val="0"/>
              </w:rPr>
              <w:t xml:space="preserve">NATO Security Policy</w:t>
            </w:r>
            <w:r w:rsidR="00000000" w:rsidRPr="00000000" w:rsidDel="00000000">
              <w:rPr>
                <w:rtl w:val="0"/>
              </w:rPr>
              <w:t xml:space="preserve">) ir specifiskas dokumentācijas kopums, kas detalizēti atrunā NATO iekšējās drošības/informācijas aizsardzības  prasības un aizstāšana ar vispārīgu tiesību aktu (starptautisko līgumu) šeit nav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24-TA-491</w:t>
    </w:r>
    <w:r>
      <w:br/>
    </w:r>
    <w:r w:rsidR="00000000" w:rsidRPr="00000000" w:rsidDel="00000000">
      <w:rPr>
        <w:rtl w:val="0"/>
      </w:rPr>
      <w:t xml:space="preserve">03.10.2025. 09.40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24-TA-491</w:t>
    </w:r>
    <w:r>
      <w:br/>
    </w:r>
    <w:r w:rsidR="00000000" w:rsidRPr="00000000" w:rsidDel="00000000">
      <w:rPr>
        <w:rtl w:val="0"/>
      </w:rPr>
      <w:t xml:space="preserve">03.10.2025. 09.40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Izziņa_24-TA-491.docx</dc:title>
</cp:coreProperties>
</file>

<file path=docProps/custom.xml><?xml version="1.0" encoding="utf-8"?>
<Properties xmlns="http://schemas.openxmlformats.org/officeDocument/2006/custom-properties" xmlns:vt="http://schemas.openxmlformats.org/officeDocument/2006/docPropsVTypes"/>
</file>