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2002. gada 23. decembra noteikumos Nr. 548 "Prasības transportlīdzekļu aprīkošanai ar ātruma ierobežotājierīci un šīs ierīces lietošanas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(01.07.2005.)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28.05.2026. 12:21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2002. gada 23. decembra noteikumos Nr. 548 "Prasības transportlīdzekļu aprīkošanai ar ātruma ierobežotājierīci un šīs ierīces lietošanas kārtība" (Latvijas Vēstnesis, 2002, 190. nr.; 2005, 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ka ar noteikumu projektu tiek svītrots Noteikumu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pamatojums norādīts, ka praksē nepastāv mehāniskie ātruma ierobežotāji, kuriem būtu uzstādītas plombas, taču atsauce uz plombām tiek saglabāta Noteikumu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Autopārvadājumu likumā ir noteikti administratīvie pārkāpumi autopārvadājumu jomā, kur 58. panta trīsdesmit septītajā daļā ir paredzēta atbildība par bojātu ātruma ierobežotāju, ja bojājums nav noteiktā kārtībā novērsts, tad ir nepieciešams radīt jaunu redakciju Noteikumu 10. punktā, kurā noteikt veicamās darbības, ja ātruma ierobežotājierīce pārstāj darboties transportlīdzeklim atrodoties ceļu satiksmē.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Ar ātruma ierobežotājierīci aprīko lauksaimniecības mašīntraktorus, kuru konstrukcijā paredzētais maksimālais ātrums pārsniedz 60 km/h.</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normas terminoloģisku nesaskaņotību ar augstāka juridiskā spēkā tiesību normu, proti, šajā normā paredzēts, ka ar ātruma ierobežotājierīci aprīko lauksaimniecības mašīntraktorus, kuru </w:t>
            </w:r>
            <w:r w:rsidR="00000000" w:rsidRPr="00000000" w:rsidDel="00000000">
              <w:rPr>
                <w:u w:val="single"/>
                <w:rtl w:val="0"/>
              </w:rPr>
              <w:t xml:space="preserve">konstrukcijā paredzētais maksimālais</w:t>
            </w:r>
            <w:r w:rsidR="00000000" w:rsidRPr="00000000" w:rsidDel="00000000">
              <w:rPr>
                <w:rtl w:val="0"/>
              </w:rPr>
              <w:t xml:space="preserve"> ātrums pārsniedz 60 km/h, bet Ceļu satiksmes likuma 1. panta 21</w:t>
            </w:r>
            <w:r w:rsidR="00000000" w:rsidRPr="00000000" w:rsidDel="00000000">
              <w:rPr>
                <w:vertAlign w:val="superscript"/>
                <w:rtl w:val="0"/>
              </w:rPr>
              <w:t xml:space="preserve">1</w:t>
            </w:r>
            <w:r w:rsidR="00000000" w:rsidRPr="00000000" w:rsidDel="00000000">
              <w:rPr>
                <w:rtl w:val="0"/>
              </w:rPr>
              <w:t xml:space="preserve">. punktā (spēkā no 01.07.2026.) noteikts, ka lauksaimniecības mašīntraktors - pilnpiedziņas mehāniskais transportlīdzeklis (..) kuram uzstādīta ātruma ierobežošanas ierīce, ja </w:t>
            </w:r>
            <w:r w:rsidR="00000000" w:rsidRPr="00000000" w:rsidDel="00000000">
              <w:rPr>
                <w:u w:val="single"/>
                <w:rtl w:val="0"/>
              </w:rPr>
              <w:t xml:space="preserve">ekspluatācijā maksimālais tehniski iespējamais</w:t>
            </w:r>
            <w:r w:rsidR="00000000" w:rsidRPr="00000000" w:rsidDel="00000000">
              <w:rPr>
                <w:rtl w:val="0"/>
              </w:rPr>
              <w:t xml:space="preserve"> ātrums pārsniedz 60 kilometrus stundā.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Ar ātruma ierobežotājierīci aprīko lauksaimniecības mašīntraktorus, kuru ekspluatācijā maksimālais tehniski iespējamais ātrums pārsniedz 60 km/h.</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22:13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ietekmes aprakstu uz norādītajām sabiedrības grupām – fiziskām un juridiskām personām (lauksaimniecības mašīntraktoru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novērtējuma skaidrojuma daļā, lūdzam norādīt konkrētas atsauces uz noteikumu normām, kas nosaka atbilstības prasības, lai būtu skaidri identificējams izmaksu rašanās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aprēķinā šobrīd ir apvienotas vairākas atšķirīgas prasības (ātruma ierobežotājierīces uzstādīšana/regulēšana un periodiskā pārbaude). Lūdzam tās nodalīt un aprēķināt atsevišķi, norādot katras prasības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aprēķina skaidrojumu ar izmantoto pieņēmumu pamatojumu,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noteikts izmaksu apmērs (200–400 euro un 50–100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pamatots subjektu skaits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dati vai informācijas avoti izmantoti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skaidrojuma daļā ir nepieciešams nodrošināt, ka aprēķina skaidrojums pamato visas izmantotās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izmaksās netiek ietvertas ātruma ierobežotājierīču uzstādīšanas izmaksas, jo attiecīgie transportlīdzekļi jau rūpnieciski ir aprīkoti ar ātruma ierobežotājierīcēm un to īpašniekiem nerodas papildu izdevumi par ierīču uzstādīšanu. Transportlīdzekļu īpašnieku pienākums ir nodrošināt ātruma ierobežotājierīču regulēšanu un periodisko pārbaudi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Ātruma ierobežotājierīces regulējumu pārbauda un, ja nepieciešams, noregulē (iestata) atbilstoši šo noteikumu </w:t>
            </w:r>
            <w:r w:rsidR="00000000" w:rsidRPr="00000000" w:rsidDel="00000000">
              <w:rPr>
                <w:rtl w:val="0"/>
              </w:rPr>
              <w:t xml:space="preserve">6.</w:t>
            </w:r>
            <w:r w:rsidR="00000000" w:rsidRPr="00000000" w:rsidDel="00000000">
              <w:rPr>
                <w:rtl w:val="0"/>
              </w:rPr>
              <w:t xml:space="preserve"> punktā minētajam, ja remonta laikā tiek noņemta kāda no pievadu plombām, bet ne retāk kā reizi divos gados un lauksaimniecības mašīntraktoriem – ne retāk kā reizi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mašīntraktora ātrumu ierobežotājierīces pārbaudi ir jānosaka ne retāk kā reizi divos gados, nevis ne retāk kā reizi četros gados, jo Ceļa satiksmes likuma V</w:t>
            </w:r>
            <w:r w:rsidR="00000000" w:rsidRPr="00000000" w:rsidDel="00000000">
              <w:rPr>
                <w:vertAlign w:val="superscript"/>
                <w:rtl w:val="0"/>
              </w:rPr>
              <w:t xml:space="preserve">1</w:t>
            </w:r>
            <w:r w:rsidR="00000000" w:rsidRPr="00000000" w:rsidDel="00000000">
              <w:rPr>
                <w:rtl w:val="0"/>
              </w:rPr>
              <w:t xml:space="preserve"> nodaļas "Lauksaimniecības mašīntraktors" (nodaļa stājas spēkā 01.07.2026.) 35.</w:t>
            </w:r>
            <w:r w:rsidR="00000000" w:rsidRPr="00000000" w:rsidDel="00000000">
              <w:rPr>
                <w:vertAlign w:val="superscript"/>
                <w:rtl w:val="0"/>
              </w:rPr>
              <w:t xml:space="preserve">1</w:t>
            </w:r>
            <w:r w:rsidR="00000000" w:rsidRPr="00000000" w:rsidDel="00000000">
              <w:rPr>
                <w:rtl w:val="0"/>
              </w:rPr>
              <w:t xml:space="preserve"> pants. "Autopārvadājumu regulējuma piemērošana lauksaimniecības mašīntraktoram" nosaka: </w:t>
            </w:r>
            <w:r w:rsidR="00000000" w:rsidRPr="00000000" w:rsidDel="00000000">
              <w:rPr>
                <w:i w:val="1"/>
                <w:rtl w:val="0"/>
              </w:rPr>
              <w:t xml:space="preserve">,,Kravas pārvadājumiem izmantojams lauksaimniecības mašīntraktors uzskatāms par autotransporta līdzekli Autopārvadājumu likuma izpratnē, un uz to attiecas Autopārvadājumu likuma normas par autopārvadājumiem"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Ceļu satiksmes likuma 35.</w:t>
            </w:r>
            <w:r w:rsidR="00000000" w:rsidRPr="00000000" w:rsidDel="00000000">
              <w:rPr>
                <w:vertAlign w:val="superscript"/>
                <w:rtl w:val="0"/>
              </w:rPr>
              <w:t xml:space="preserve">1</w:t>
            </w:r>
            <w:r w:rsidR="00000000" w:rsidRPr="00000000" w:rsidDel="00000000">
              <w:rPr>
                <w:rtl w:val="0"/>
              </w:rPr>
              <w:t xml:space="preserve"> pantā noteikto gadījumu, arī attiecībā uz lauksaimniecības mašīntraktoru, ja tas tiek izmantots kravas pārvadājumiem, ir jābūt noteiktam tādam pašam ātrumu ierobežotājierīces pārbaudes periodam, proti, ne retāk kā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precizējumi ir jāveic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neiebilst pret to, ka lauksaimniecības mašīntraktoram, veicot kravu pārvadājumus, tiek piemērots Autopārvadājumu likuma regulējums, tomēr ir jānorāda, ka tas automātiski nenozīmē pilnīgi identisku tehnisko prasību piemērošanu kā N un M kategorijas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548 pārņem Direktīvu 92/6/EEK, kura attiecas uz N2-3 un M2-3 kategorijas transportlīdzekļiem, proti, kravas automobiļiem un autobusiem, kas regulāri piedalās ceļu satiksmē un veic profesionālus komercpārvadājumus.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lauksaimniecības mašīntraktors nav N kategorijas kravas automobilis, bet gan traktortehnika, kurai atsevišķos gadījumos piemēro Autopārvadājumu likuma normas, kas attiecās uz autotransporta līdzekli šī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mašīntraktoru izmantošanas intensitāte būtiski atšķiras no komerctransporta: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1)tie paredzēti galvenokārt lauksaimnieciskās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dalība ceļu satiksmē ir epizodiska;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 neveic regulārus komercpārvadājumus (jo tiem ir ierobežots braukšanas ātrums un ir aprīkoti ar lauksaimniecības riepām, kas ir mīkstā sastāva);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pārvietošanās rādiuss ir ierobežots (100 km rādiusā);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 veic pašpārvadājumus;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to nobraukums un ekspluatācijas ilgums uz publiskajiem ceļiem ir ievērojami mazāks nekā kravas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ātruma ierobežotājierīču nolietojums un regulējuma izmaiņu risks lauksaimniecības mašīntraktoram būs mazāks nekā komerctransportam.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četru gadu pārbaudes periods ir uzskatāms par samērīgu un diferencētu pieeju, kas atbilst faktiskajai ekspluatācijas intensitātei, vienlaikus saglabājot nepieciešamo kontroles līmeni un satiksmes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Eiropas Savienības tiesību akti neparedz konkrētu ātruma ierobežotājierīču pārbaudes periodu traktortehnikai vai lauksaimniecības mašīntraktoriem, līdz ar to dalībvalstīm šajā jomā ir rīcības brīvība noteikt nacionālajai situācijai atbilstošu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Ātruma ierobežotājierīces regulējumu pārbauda un, ja nepieciešams, noregulē (iestata) atbilstoši šo noteikumu </w:t>
            </w:r>
            <w:r w:rsidR="00000000" w:rsidRPr="00000000" w:rsidDel="00000000">
              <w:rPr>
                <w:rtl w:val="0"/>
              </w:rPr>
              <w:t xml:space="preserve">6.</w:t>
            </w:r>
            <w:r w:rsidR="00000000" w:rsidRPr="00000000" w:rsidDel="00000000">
              <w:rPr>
                <w:rtl w:val="0"/>
              </w:rPr>
              <w:t xml:space="preserve"> punktā minētajam, ja remonta laikā tiek noņemta kāda no pievadu plombām, bet ne retāk kā reizi divos gados un lauksaimniecības mašīntraktoriem – ne retāk kā reizi četros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paplašina regulējuma tvērumu, attiecinot prasības uz lauksaimniecības mašīntraktoriem, kā arī nosaka ātruma ierobežotājierīču pārbaudes periodiskumu. Līdz ar to institūcijām, kas nodrošina šo prasību uzraudzību un pārbaudi, tiek precizēts un faktiski paplašināts uzdevumu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anotācijas 7.4. apakšpunktā ir norādāma ietekme uz valsts institūcijām. Ja tiek saglabāts vērtējums, ka valsts institūcijām ietekme nerodas (nemainās), lūdzam to pamatot anotācijas 7.5.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transportlīdzekļu aprīkošanai ar ātruma ierobežotājierīci un šīs ierīces 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(ZSA - 07.05.2026.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mašīntraktora ātrumu ierobežotājierīces pārbaudi ir jānosaka ne retāk kā reizi četros gados, ņemot vērā šo mašintraktoru sezonālo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1.3. apakšpunkts paredz, ka ātruma ierobežotājierīces regulējumu pārbaudi un, ja nepieciešams, noregulē (iestata) atbilstoši šo noteikumu 6. punktā minētajam, ja remonta laikā tiek noņemta kāda no pievadu plombām lauksaimniecības mašīntraktoriem veic ne retāk kā reizi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transportlīdzekļu aprīkošanai ar ātruma ierobežotājierīci un šīs ierīces lietošanas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transportlīdzekļu aprīkošanai ar ātruma ierobežotājierīci un šīs ierīces 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(ZSA - 07.05.2026.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būtiksi noteikt, ka ir pārbaudāma tikai ātruma ierobežotājierīce, nevis tahogrāfs, kā rezultātā arī pakalpojuma cenām ir jābūt nodalītām!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neattiecās uz tahogrāfu pārbaudēm, bet tikai uz ātruma ierobežotājierīču pārbaudēm.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transportlīdzekļu aprīkošanai ar ātruma ierobežotājierīci un šīs ierīces lietošanas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26-TA-637</w:t>
    </w:r>
    <w:r>
      <w:br/>
    </w:r>
    <w:r w:rsidR="00000000" w:rsidRPr="00000000" w:rsidDel="00000000">
      <w:rPr>
        <w:rtl w:val="0"/>
      </w:rPr>
      <w:t xml:space="preserve">06.07.2026. 18.13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26-TA-637</w:t>
    </w:r>
    <w:r>
      <w:br/>
    </w:r>
    <w:r w:rsidR="00000000" w:rsidRPr="00000000" w:rsidDel="00000000">
      <w:rPr>
        <w:rtl w:val="0"/>
      </w:rPr>
      <w:t xml:space="preserve">06.07.2026. 18.13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Izziņa_26-TA-637.docx</dc:title>
</cp:coreProperties>
</file>

<file path=docProps/custom.xml><?xml version="1.0" encoding="utf-8"?>
<Properties xmlns="http://schemas.openxmlformats.org/officeDocument/2006/custom-properties" xmlns:vt="http://schemas.openxmlformats.org/officeDocument/2006/docPropsVTypes"/>
</file>