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22-TA-1873: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dividendēs izmaksājamo valsts sabiedrības ar ierobežotu atbildību "Jaunais Rīgas teātris" peļņas daļu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veicot dividenžu maksājumus uzņēmumu ienākuma nodoklis tiek aprēķināts un nomaksāts uzņēmumu ienākuma nodokli regulējošos normatīvajos aktos noteiktajā kārtībā, lūdzam sadaļā cita informācija norādīt, ka lēmums par peļņas atstāšanu kapitālsabiedrības rīcībā samazinās arī uzņēmuma ienākuma nodokļa maksājumus.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III. sadaļas 8.punkts „Cita informācija”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veicot dividenžu maksājumus, uzņēmumu ienākuma nodoklis tiek aprēķināts un nomaksāts uzņēmumu ienākuma nodokli regulējošos normatīvajos aktos noteiktajā kārtībā, lēmums par peļņas atstāšanu kapitālsabiedrības rīcībā samazinās arī uzņēmuma ienākuma nodokļa maksājumus.”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16.marta atzinumā par VSIA “Jaunais Rīgas teātris” (turpmāk – JRT) vidēja termiņa darbības stratēģiju 2022.-2026.gadam (turpmāk – stratēģija) Pārresoru koordinācijas centrs norādīja, ka stratēģijā atstātā peļņa paredzēta nevis ieguldījumiem, bet esošo pamatlīdzekļu nomaiņai, kas JRT būtu jāveic no ikgadējiem amortizāciju atskaitījumiem. Stratēģijā minētie izdevumi biroja iekārtām un šujmašīnām drīzāk uzskatāmi par tādiem, kuri būtu iekļaujami ikgadējā budžeta izdevumu sarakstā, nevis jāplāno segt no dividendēs maksājamās peļņas daļas. Norādām, ka, ja dividendes tiks novirzītas pamatlīdzekļu nomaiņai, visā stratēģijas periodā JRT vairs neatliek līdzekļi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iekļautās informācijas atbilstību faktam, ka "Kapitālsabiedrība papildus investīcijas teātra tehniskās un tehnoloģiskās bāzes pilnveidošanā veic pēc pārpalikuma vai ārkārtas principa, jo līdzšinējais valsts finansējums nav pietiekams investīcijām materiāli tehniskā procesa darbībā, kas nepieciešams kapitālsabiedrības attīstībai un skatuves tehnikas modernizēšanai". JRT 2021.gada pārskatā ir norādīts, ka 2021.gadā pamatlīdzekļu nolietojuma uzkrājums ir 97,9 tūkst. EUR, bet pamatlīdzekļu un nemateriālo ieguldījumu iegāde ir veikta tikai 9,3 tūkst. EUR apmērā, kas liecina, ka pamatlīdzekļu atjaunošana nav notikusi, kaut gan neto naudas plūsma ir 152,3 tūkst. EUR, un papildu ieguldījumu veikšana pamatlīdzekļos ir bijusi iespējama, nepasliktinot finanšu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sadaļā Problēmas apraksts uzrādītais kopējais ieguldījumu apmērs, ko paredzēts segt no dividendēm (15 360 EUR) atšķiras ar stratēģijā paredzēto un anotācijas nākamajās sadaļās minēto apmēru (14 615 EUR). Lūdzam koriģēt 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gadījumā, ja JRT nemaksā dividendes, tad attiecīgi netiks maksāts arī uzņēmumu ienākuma nodoklis, kā rezultātā budžeta negūtie ieņēmumi būs lielāki, nekā tas uzrādīts anotācijā. Lūdzam uzrādīt budžetā negūto summu, atsevišķi izdalot dividendes un uzņēmumu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„Problēmas apraksts”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iekļautie plāni peļņas izlietojumam nav paredzēti tādu pamatlīdzekļu iegādei, kuru trūkums varētu apdraudēt pamatdarbību, bet gan ir vērsts uz pakāpenisku materiāltehniskā aprīkojuma papildināšanu un uzlabošanu. Saskaņā ar Ministru kabineta 2020.gada 30.aprīļa rīkojuma Nr.231 „Par finansējumu Jaunā Rīgas teātra ēku Lāčplēša ielā 25, Rīgā, pārbūves, nomas maksas, papildu maksājumu, pārcelšanās un aprīkojuma iegādes izdevumu segšanai” 3.3.apakšpunktu 2022.gada ietvaros kapitālsabiedrībai ir paredzēts finansējums investīcijām aprīkojuma iegādes izdevumu segšanai 1 500 000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„Problēmas apraksts”, svītrojot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papildus investīcijas teātra tehniskās un tehnoloģiskās bāzes pilnveidošanā veic pēc pārpalikuma vai ārkārtas principa, jo līdzšinējais valsts finansējums nav pietiekams investīcijām materiāli tehniskā procesa darbībā, kas nepieciešams kapitālsabiedrības attīstībai un skatuves tehnikas modernizēšanai.”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sadaļā „Problēmas apraksts” teikuma daļā „divu printeru remontam un nolietoto rezerves daļu iepirkuma iegādes izdevumu segšanai 4 000 </w:t>
            </w:r>
            <w:r w:rsidR="00000000" w:rsidRPr="00000000" w:rsidDel="00000000">
              <w:rPr>
                <w:i w:val="1"/>
                <w:rtl w:val="0"/>
              </w:rPr>
              <w:t xml:space="preserve">euro</w:t>
            </w:r>
            <w:r w:rsidR="00000000" w:rsidRPr="00000000" w:rsidDel="00000000">
              <w:rPr>
                <w:rtl w:val="0"/>
              </w:rPr>
              <w:t xml:space="preserve"> apmērā, no kuriem 2 560 </w:t>
            </w:r>
            <w:r w:rsidR="00000000" w:rsidRPr="00000000" w:rsidDel="00000000">
              <w:rPr>
                <w:i w:val="1"/>
                <w:rtl w:val="0"/>
              </w:rPr>
              <w:t xml:space="preserve">euro</w:t>
            </w:r>
            <w:r w:rsidR="00000000" w:rsidRPr="00000000" w:rsidDel="00000000">
              <w:rPr>
                <w:rtl w:val="0"/>
              </w:rPr>
              <w:t xml:space="preserve"> apmērā plānots segt no dividendēm” skaitlis „2 560” aizstāts ar skaitli „1 815”, līdz ar to, kopējais ieguldījumu apmērs ir 14 615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III. sadaļas 8.punkts „Cita informācija”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veicot dividenžu maksājumus, uzņēmumu ienākuma nodoklis tiek aprēķināts un nomaksāts uzņēmumu ienākuma nodokli regulējošos normatīvajos aktos noteiktajā kārtībā, lēmums par peļņas atstāšanu kapitālsabiedrības rīcībā samazinās arī uzņēmuma ienākuma nodokļa maksājumus 2022.gadā 454 </w:t>
            </w:r>
            <w:r w:rsidR="00000000" w:rsidRPr="00000000" w:rsidDel="00000000">
              <w:rPr>
                <w:i w:val="1"/>
                <w:rtl w:val="0"/>
              </w:rPr>
              <w:t xml:space="preserve">euro</w:t>
            </w:r>
            <w:r w:rsidR="00000000" w:rsidRPr="00000000" w:rsidDel="00000000">
              <w:rPr>
                <w:rtl w:val="0"/>
              </w:rPr>
              <w:t xml:space="preserve"> apmērā, 2023.gadā 800 </w:t>
            </w:r>
            <w:r w:rsidR="00000000" w:rsidRPr="00000000" w:rsidDel="00000000">
              <w:rPr>
                <w:i w:val="1"/>
                <w:rtl w:val="0"/>
              </w:rPr>
              <w:t xml:space="preserve">euro</w:t>
            </w:r>
            <w:r w:rsidR="00000000" w:rsidRPr="00000000" w:rsidDel="00000000">
              <w:rPr>
                <w:rtl w:val="0"/>
              </w:rPr>
              <w:t xml:space="preserve"> apmērā, 2024.gadā 800 </w:t>
            </w:r>
            <w:r w:rsidR="00000000" w:rsidRPr="00000000" w:rsidDel="00000000">
              <w:rPr>
                <w:i w:val="1"/>
                <w:rtl w:val="0"/>
              </w:rPr>
              <w:t xml:space="preserve">euro</w:t>
            </w:r>
            <w:r w:rsidR="00000000" w:rsidRPr="00000000" w:rsidDel="00000000">
              <w:rPr>
                <w:rtl w:val="0"/>
              </w:rPr>
              <w:t xml:space="preserve"> apmērā un 2025.gadā 800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22-TA-1873</w:t>
    </w:r>
    <w:r>
      <w:br/>
    </w:r>
    <w:r w:rsidR="00000000" w:rsidRPr="00000000" w:rsidDel="00000000">
      <w:rPr>
        <w:rtl w:val="0"/>
      </w:rPr>
      <w:t xml:space="preserve">11.08.2022. 16.23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22-TA-1873</w:t>
    </w:r>
    <w:r>
      <w:br/>
    </w:r>
    <w:r w:rsidR="00000000" w:rsidRPr="00000000" w:rsidDel="00000000">
      <w:rPr>
        <w:rtl w:val="0"/>
      </w:rPr>
      <w:t xml:space="preserve">11.08.2022. 16.23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Izziņa_22-TA-1873.docx</dc:title>
</cp:coreProperties>
</file>

<file path=docProps/custom.xml><?xml version="1.0" encoding="utf-8"?>
<Properties xmlns="http://schemas.openxmlformats.org/officeDocument/2006/custom-properties" xmlns:vt="http://schemas.openxmlformats.org/officeDocument/2006/docPropsVTypes"/>
</file>