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9. augusta noteikumos Nr. 519 "Darbības programmas "Izaugsme un nodarbinātība" 5.1.1. specifiskā atbalsta mērķa "Novērst plūdu un krasta erozijas risku apdraudējumu pilsētu teritorijās" projektu iesniegumu otrās un trešās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riskus Eiropas Savienības struktūrfondu un Kohēzijas fonda 2014.–2020.gada plānošanas perioda projektu pabeigšanai, novērstu riskus Eiropas Savienības fondu 2021.–2027.gada plānošanas perioda finansējuma zaudēšanai nepietiekama finanšu progresa dēļ un neradītu papildu negatīvu ietekmi uz valsts un pašvaldību budžetu, prioritārais risinājums atbilstoši Ministru kabineta 2023.gada 26.septembra lēmumam (prot. Nr.47 43. §. 4.1 apakšpunkts) projektu pabeigšanai pēc 2023.gada beigām ir Eiropas Savienības struktūrfondu un Kohēzijas fonda 2014.–2020.gada plānošanas perioda investīciju projektu izdevumus pilnībā vai daļēji (projektus posmojot) finansēt Eiropas Savienības fondu kohēzijas politikas programmas 2021.–2027.gada plānošanas periodam ietvaros, t.sk. nepieciešamības gadījumā rosinot piešķīruma pārdales, programmas grozījumus. Lai nodrošinātu skaidru un izsekojamu argumentāciju nepiemērot minēto posmošanas risinājumu, lūdzam precizēt anotācijā norādīto informāciju. Vēršam uzmanību, ka projekti, kuru līgumi noslēgti līdz 2022.gada 29.jūnijam, ir posmojami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118a. panta nosacījumiem, kas attiecīgi neparedz jaunu projektu iesniegumu vērtēšanas kritēriju izstrādi un projektu iesniegumu atlases veikšanu. Tāpat aicinām pārskatīt anotācijā norādīto argumentāciju par grozījumu nepieciešamību abu periodu programmās, ņemot vērā, ka Eiropas Savienības fondu 2021.–2027.gada programmā tiek plānotas arī investīcijas plūdu un krasta erozijas novēršanai, kā arī  ir potenciāli atbilstoši intervences kodi (2.1.3.2. pasākuma "Nacionālas nozīmes plūdu un krasta erozijas pasākumi"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anotācijā iekļautā informācija un precizēts skaidrojums par posmošanas iespējām, norādot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"Būnas izbūve Baltijas jūrā" gadījumā darbības, kas tiks īstenotas pēc 2023. gada 31. decembra, nav iekļautas projektā kā attiecināmas un tām nekad nav ticis paredzēts ES fondu vai valsts budžeta finansējums. Līdz ar to projekts nesniegtu ieguldījumu n+3 mērķu sasniegšanā, jo būtiskākais finansējuma saņēmējam izvirzītais mērķis ir nodrošināt krasta nostiprinājuma izbūvi par savu finansējumu, ko Liepājas valstspilsētas pašvaldība ir apstiprinājusi. Dalot projektu posmos un piešķirot ES fondu finansējumu ES kohēzijas politikas programmas 2021. - 2027. gadam ietvarā, netiktu ievērots būtisks projekta "Būnas izbūve Baltijas jūrā" īstenošanas nosacījums (krasta stiprinājums izbūvējams bez ES fondu finansējuma), tādējādi īstenojot nevēlamu precedentu;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pabeigta ES kohēzijas politikas programmas 2021. - 2027. gadam 2.1.3.2. pasākuma "Nacionālas nozīmes plūdu un krasta erozijas pasākumi" priekšatlase, nosakot visus projektu iesniedzējus un tiem pieejamo ERAF finansējumu, kas atbilst maksimāli pieejamam ERAF finansējumam. Projektu iesniedzēji jau ir informēti par priekšatlases rezultātiem un ir uzsākuši budžeta plānošanu. VARAM ir izstrādājusi MK rīkojuma projektu Par projektu ideju priekšatlasi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 ko plānots nodot starpinstitūciju saskaņošanā līdz 2023. gada 8. decembrim. Pabeidzot priekšatlasi, nav izveidojies ERAF finansējuma atlikums;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kopējais attiecināmo izmaksu apmērs, kas potenciāli netiks izmaksāts Jūrmalas valstspilsētas administrācijas projektā, ir vien ~323 000 </w:t>
            </w:r>
            <w:r w:rsidR="00000000" w:rsidRPr="00000000" w:rsidDel="00000000">
              <w:rPr>
                <w:i w:val="1"/>
                <w:rtl w:val="0"/>
              </w:rPr>
              <w:t xml:space="preserve">euro</w:t>
            </w:r>
            <w:r w:rsidR="00000000" w:rsidRPr="00000000" w:rsidDel="00000000">
              <w:rPr>
                <w:rtl w:val="0"/>
              </w:rPr>
              <w:t xml:space="preserve">. Abos pārējos projektos jau šobrīd paredzēts, ka 2024. gadā tiks veiktas izmaksas neattiecināmo izmaksu daļā, kas, dalot projektus posmos, nesniedz ieguldījumu n+3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visi ietekmētie finansējuma saņēmēji ir apliecinājuši, ka spēs segt izmaksas no pašu finansējuma vai izmantojot Valsts kases aizņēmumu.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"Apraksts" ar informāciju, vai grozījumi vienošanās par projekta īstenošanu tiek uzskatīti par būtiskiem un ietekmē projekta ietvaros veicamo darbību veidu, projekta mērķus vai īstenošanas nosacījumus.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grozījumi vienošanās par projekta īstenošanu netiek uzskatīti par būtiskiem un neietekmē projekta ietvaros veicamo darbību veidu, projekta mērķus vai īstenošanas nosacījumus, kā vien tikai tos, kurus ietekmē termiņa pagarināšana.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anotācijas 3. sadaļas “Tiesību akta projekta ietekme uz valsts budžetu un pašvaldību budžetiem” apakšsadaļas “Cita informācija”  pirmo teikumu šādā redakcijā: “Noteikumu projektam nav ietekmes uz valsts budžeta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izteikt anotācijas tabulas 6.2.punktā norādīto otro rindkopu piedāvātajā redakcijā, ņemot vērā, ka Ādažu pašvaldības projektā 265 270 euro ir neattiecināmās izmaksas: Finansējuma saņēmēju un Centrālās finanšu un līgumu aģentūras sniegtā informācija liecina, ka Ādažu novada pašvaldības projektā visas attiecināmās izmaksas ir veiktas 2023.gadā, Jūrmalas valstspilsētas administrācijas projekta ietekme - 323 000 euro. Nefunkcionālā projekta gadījumā ir noteikts, ka krasta stiprinājuma būvniecības izmaksas ir vismaz 2 037 398 euro, ko pašvaldība segs līdzīgās daļās 2024. un 2025. gadā (katrā gadā 1 018 699 euro). Visu minēto projektu gadījumā pašvaldībām ir iespēja saņemt aizņēmumu Valsts kasē projekta attiecināmo izmaksu apmērā atbilstoši saskaņotajām darbībām un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aktuālās informācijas atspoguļošanu, papildus lūdzam anotācijas tabulā 2.punktā un 2.3.apakšpunktā skaitli "1 606 971" aizstāt ar skaitli "1 341 701", savukārt tabulā 3. un 5.punktā, un 3.3. un 5.5.apakšpunktā skaitli "-1 606 971" aizstāt ar skaitli "-1 341 701".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precizējot informāciju apjomā, ko ietekmē tieši situācija Ādažu novada pašvaldības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noteikumu projektā pārņemtas Komisijas paziņojuma "</w:t>
            </w:r>
            <w:r w:rsidR="00000000" w:rsidRPr="00000000" w:rsidDel="00000000">
              <w:rPr>
                <w:i w:val="1"/>
                <w:rtl w:val="0"/>
              </w:rPr>
              <w:t xml:space="preserve">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w:t>
            </w:r>
            <w:r w:rsidR="00000000" w:rsidRPr="00000000" w:rsidDel="00000000">
              <w:rPr>
                <w:rtl w:val="0"/>
              </w:rPr>
              <w:t xml:space="preserve">" (2022/C 474/01) prasības. Ievērojot minēto, aicinām papildināt noteikumu projekta anotācijas 5.3. sadaļu "Cita informācija" ar skaidrojumu par minēto vadlīniju konkrētās vienībās ietverto prasību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vadlīnijas netiek pārņemtas līdzvērtīgi direktīvu nosacījumiem. Vadlīnijas ir Eiropas Komisijas dienestu sagatavots darba dokuments, kurā paredzēts metodiskais ietvars un sniegti tehniski norādījumi plānošanas perioda slēgšanai. Līdz ar to anotācijā netiek veikti precizējumi 5.3.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3. līdz 2024. gada 31. decembrim iesniedz sadarbības iestādē pabeigto projekta darbību un sasniegtā iznākuma rādītāja pamatojošo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w:t>
            </w:r>
            <w:r w:rsidR="00000000" w:rsidRPr="00000000" w:rsidDel="00000000">
              <w:rPr>
                <w:vertAlign w:val="superscript"/>
                <w:rtl w:val="0"/>
              </w:rPr>
              <w:t xml:space="preserve">2</w:t>
            </w:r>
            <w:r w:rsidR="00000000" w:rsidRPr="00000000" w:rsidDel="00000000">
              <w:rPr>
                <w:rtl w:val="0"/>
              </w:rPr>
              <w:t xml:space="preserve">3. apakšpunktā norādīto dokumentu iesniegšanas datumu uz 2024. gada 31.oktobri un noteikumu projekta 5.</w:t>
            </w:r>
            <w:r w:rsidR="00000000" w:rsidRPr="00000000" w:rsidDel="00000000">
              <w:rPr>
                <w:vertAlign w:val="superscript"/>
                <w:rtl w:val="0"/>
              </w:rPr>
              <w:t xml:space="preserve">3</w:t>
            </w:r>
            <w:r w:rsidR="00000000" w:rsidRPr="00000000" w:rsidDel="00000000">
              <w:rPr>
                <w:rtl w:val="0"/>
              </w:rPr>
              <w:t xml:space="preserve">3. apakšpunktā norādīto dokumentu iesniegšanas datumu uz 2026. gada 31.oktobri, lai sadarbības iestāde varētu izskatīt iesniegto dokumentāciju un pārliecināties par projekta pabeigšanu un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3. līdz 2024. gada 31. oktobrim iesniedz sadarbības iestādē pabeigto projekta darbību un sasniegtā iznākuma rādītāja pamatojošo dokumentāciju.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Ja finansējuma saņēmējs par saviem līdzekļiem nepabeidz visas plānotās projekta darbības un nesasniedz visus plānotos projekta iznākuma rādītājus līdz 2024. gada 31. oktobrim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minētajā gadījumā vai līdz 2026. gada 31. oktobrim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minētajā gadījumā, finansējuma saņēmējs saskaņā ar līgumu par projekta īstenošanu nosacījumiem atmaksā sadarbības iestādei visu projekta ietvaros saņemto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konsekventi norādīt uz līgumu </w:t>
            </w:r>
            <w:r w:rsidR="00000000" w:rsidRPr="00000000" w:rsidDel="00000000">
              <w:rPr>
                <w:u w:val="single"/>
                <w:rtl w:val="0"/>
              </w:rPr>
              <w:t xml:space="preserve">vai vienošanos</w:t>
            </w:r>
            <w:r w:rsidR="00000000" w:rsidRPr="00000000" w:rsidDel="00000000">
              <w:rPr>
                <w:rtl w:val="0"/>
              </w:rPr>
              <w:t xml:space="preserve"> par projekta īstenošanu. Attiecīgi aicinām precizēt noteikumu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2016. gada 9. augusta noteikumu Nr.519 1.6. apakšunktā noteikts, ka visā noteikumu tekstā tiek lietots tikai viens līgumisko attiecību veids (vienošanās), tad noteikumu projektā un protokollēmumā saglabāta norāde tikai uz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Ja finansējuma saņēmējs par saviem līdzekļiem nepabeidz visas plānotās projekta darbības un nesasniedz visus plānotos projekta iznākuma rādītājus līdz 2024. gada 31. oktobrim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minētajā gadījumā vai līdz 2026. gada 31. oktobrim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minētajā gadījumā, finansējuma saņēmējs saskaņā ar vienošanos par projekta īstenošanu nosacījumiem atmaksā sadarbības iestādei visu projekta ietvaros izmaksāto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KF finansējumu atbilstoši faktam pabeigtajiem projektiem (Daugavpils pašvaldībai, Jelgavas pilsētas pašvaldībai (Svētes upes projekts), Ogres novada pašvaldībai, Rīgas pilsētas pašvaldībai un Ventspils pilsētas pašvaldībai), kā arī plānoto iznākuma rādītāju Ventspils pilsētas pašvaldībai - 22 311 iedzīvotāji.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pielikumā iekļautā informācija ir būtiska, pieņemot lēmumu par projekta apstiprināšanu. Precizējumi pielikumā būtu nepieciešami, ja projektos radītais Kohēzijas fonda finansējuma atlikums tiktu pārdalīts uz citu specifiskā atbalsta mērķa atlases kārtu. Atbilstoši līdzšinējai pieredzei netiek veikti grozījumi Ministru kabineta noteikumos pēc projektu pabeigšanas, precizējot izmaksāto Eiropas Savienības fondu finansējumu, jo tam nav lietderības pamatojuma.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23-TA-2916</w:t>
    </w:r>
    <w:r>
      <w:br/>
    </w:r>
    <w:r w:rsidR="00000000" w:rsidRPr="00000000" w:rsidDel="00000000">
      <w:rPr>
        <w:rtl w:val="0"/>
      </w:rPr>
      <w:t xml:space="preserve">13.12.2023. 10.46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23-TA-2916</w:t>
    </w:r>
    <w:r>
      <w:br/>
    </w:r>
    <w:r w:rsidR="00000000" w:rsidRPr="00000000" w:rsidDel="00000000">
      <w:rPr>
        <w:rtl w:val="0"/>
      </w:rPr>
      <w:t xml:space="preserve">13.12.2023. 10.46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Izziņa_23-TA-2916.docx</dc:title>
</cp:coreProperties>
</file>

<file path=docProps/custom.xml><?xml version="1.0" encoding="utf-8"?>
<Properties xmlns="http://schemas.openxmlformats.org/officeDocument/2006/custom-properties" xmlns:vt="http://schemas.openxmlformats.org/officeDocument/2006/docPropsVTypes"/>
</file>