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Kroņu ielā 9, Rīgā, pārņemšanu Finanšu ministrijas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23.03.2026. 10:24</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rīkojuma 2. punktā minētā uzdevuma izpildes saskaņā ar Publiskas personas mantas atsavināšanas likuma 4. panta pirmo daļu un 5. panta pirmo daļu atļaut valsts akciju sabiedrībai "Valsts nekustamie īpašumi" pārdot izsolē šā rīkojuma 2. punktā minēto vienoto nekustamo īpašumu (nekustamā īpašuma kadastra Nr. 0100 070 0030) – zemes vienību (zemes vienības kadastra apzīmējums 0100 070 0030) 0,3196 ha platībā un būvi (būvju kadastra apzīmējums 0100 070 0752 034) – Kroņu ielā 9,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3.punkta tekstu : ... būvi (būv</w:t>
            </w:r>
            <w:r w:rsidR="00000000" w:rsidRPr="00000000" w:rsidDel="00000000">
              <w:rPr>
                <w:b w:val="1"/>
                <w:rtl w:val="0"/>
              </w:rPr>
              <w:t xml:space="preserve">es</w:t>
            </w:r>
            <w:r w:rsidR="00000000" w:rsidRPr="00000000" w:rsidDel="00000000">
              <w:rPr>
                <w:rtl w:val="0"/>
              </w:rPr>
              <w:t xml:space="preserve"> kadastra apzīmējums 0100 070 0752 034)...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šā rīkojuma 2. punktā minētā uzdevuma izpildes saskaņā ar Publiskas personas mantas atsavināšanas likuma 4. panta pirmo daļu un 5. panta pirmo daļu atļaut valsts akciju sabiedrībai "Valsts nekustamie īpašumi" pārdot izsolē šā rīkojuma 2. punktā minēto vienoto nekustamo īpašumu (nekustamā īpašuma kadastra Nr. 0100 070 0030) – zemes vienību (zemes vienības kadastra apzīmējums 0100 070 0030) 0,3196 ha platībā un būvi (būves kadastra apzīmējums 0100 070 0752 034) – Kroņu ielā 9, Rīgā.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šā rīkojuma 2. punktā minētā uzdevuma izpildes saskaņā ar Publiskas personas mantas atsavināšanas likuma 4. panta pirmo daļu un 5. panta pirmo daļu atļaut valsts akciju sabiedrībai "Valsts nekustamie īpašumi" pārdot izsolē šā rīkojuma 2. punktā minēto vienoto nekustamo īpašumu (nekustamā īpašuma kadastra Nr. 0100 070 0030) – zemes vienību (zemes vienības kadastra apzīmējums 0100 070 0030) 0,3196 ha platībā un būvi (būves kadastra apzīmējums 0100 070 0752 034) – Kroņu ielā 9,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papildināt anotāciju, paredzot situācijas izvērtējumu gadījumam, ja inženierbūves ar kadastra apzīmējumu 01000700855012 kopīpašnieki nepieņem lēmumu par būves datu aktualizācijas ierosinājumu Nekustamā īpašuma valsts kadastra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Atbilstoši Ministru kabineta 2012. gada 10. aprīļa noteikumu Nr.263 “Kadastra objekta reģistrācijas un kadastra datu aktualizācijas noteikumi” 85.1. apakšpunktam kadastra datus par būvi vai telpu grupu aktualizē, ja notikušas izmaiņas būvi vai telpu grupu raksturojošos datos (rādītājos). Tādējādi, ja inženierbūves daļa ir nojaukta vai tā atrodas uz citām zemes vienībām, datu aktualizācijai Nekustamā īpašuma valsts kadastra informācijas sistēmā inženierbūves īpašniekiem vai to pilnvarotajai personai ir tiesības ierosināt inženierbūves datu aktualizāciju, iesniedzot Valsts zemes dienestam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"Par atjaunotā Latvijas Republikas 1937. gada Civillikuma ievada, mantojuma tiesību un lietu tiesību daļas spēkā stāšanās laiku un piemērošanas kārtību" 38. panta otrās daļas pirmajam teikumam būves īpašniekam uz likuma pamata ir pienākums maksāt lietošanas maksu zemes īpašniekam par zemes lietošanas tiesībām, kā arī segt maksāšanas paziņojuma izmaksas. Līdz ar to, ja inženierbūves ar kadastra apzīmējumu 01000700855012 kopīpašnieki pieņem lēmumu neierosināt datu aktualizāciju Nekustamā īpašuma valsts kadastra informācijas sistēmā, jaunajam zemes vienības ar kadastra apzīmējumu 01000700030 īpašniekam saglabājas tiesības saņemt no kopīpašniekiem zemes lietošanas maksu un ar maksāšanas paziņojuma izdošanu saistītajām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- 08.04.2026.)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 sadaļā iesaistītās institūcijas nosaukumu uz -  SIA "Publisko aktīvu pārvaldītājs Possessor".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26-TA-649</w:t>
    </w:r>
    <w:r>
      <w:br/>
    </w:r>
    <w:r w:rsidR="00000000" w:rsidRPr="00000000" w:rsidDel="00000000">
      <w:rPr>
        <w:rtl w:val="0"/>
      </w:rPr>
      <w:t xml:space="preserve">20.04.2026. 11.55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26-TA-649</w:t>
    </w:r>
    <w:r>
      <w:br/>
    </w:r>
    <w:r w:rsidR="00000000" w:rsidRPr="00000000" w:rsidDel="00000000">
      <w:rPr>
        <w:rtl w:val="0"/>
      </w:rPr>
      <w:t xml:space="preserve">20.04.2026. 11.55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Izziņa_26-TA-649.docx</dc:title>
</cp:coreProperties>
</file>

<file path=docProps/custom.xml><?xml version="1.0" encoding="utf-8"?>
<Properties xmlns="http://schemas.openxmlformats.org/officeDocument/2006/custom-properties" xmlns:vt="http://schemas.openxmlformats.org/officeDocument/2006/docPropsVTypes"/>
</file>